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pStyle w:val="2"/>
        <w:spacing w:line="540" w:lineRule="exact"/>
        <w:jc w:val="center"/>
        <w:rPr>
          <w:rFonts w:ascii="方正小标宋_GBK" w:hAnsi="方正小标宋_GBK" w:eastAsia="方正小标宋_GBK" w:cs="方正小标宋_GBK"/>
          <w:b w:val="0"/>
          <w:bCs w:val="0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</w:rPr>
        <w:t>赣州市中心血站2021年部门预算</w:t>
      </w:r>
    </w:p>
    <w:bookmarkEnd w:id="0"/>
    <w:p>
      <w:pPr>
        <w:spacing w:line="54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 录</w:t>
      </w:r>
    </w:p>
    <w:p>
      <w:pPr>
        <w:spacing w:line="540" w:lineRule="exact"/>
        <w:rPr>
          <w:sz w:val="44"/>
          <w:szCs w:val="44"/>
        </w:rPr>
      </w:pPr>
    </w:p>
    <w:p>
      <w:pPr>
        <w:pStyle w:val="8"/>
        <w:tabs>
          <w:tab w:val="right" w:pos="8306"/>
        </w:tabs>
        <w:spacing w:line="560" w:lineRule="atLeast"/>
        <w:ind w:firstLine="640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第一部分  赣州市中心血站概况</w:t>
      </w:r>
      <w:r>
        <w:rPr>
          <w:rFonts w:ascii="仿宋_GB2312" w:eastAsia="仿宋_GB2312"/>
          <w:b/>
          <w:bCs/>
          <w:color w:val="000000"/>
          <w:sz w:val="32"/>
          <w:szCs w:val="32"/>
        </w:rPr>
        <w:tab/>
      </w:r>
    </w:p>
    <w:p>
      <w:pPr>
        <w:pStyle w:val="8"/>
        <w:spacing w:line="560" w:lineRule="atLeast"/>
        <w:ind w:firstLine="1120" w:firstLineChars="35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hint="eastAsia" w:ascii="Adobe 仿宋 Std R" w:hAnsi="Adobe 仿宋 Std R" w:eastAsia="Adobe 仿宋 Std R" w:cs="黑体"/>
          <w:kern w:val="2"/>
          <w:sz w:val="32"/>
          <w:szCs w:val="30"/>
        </w:rPr>
        <w:t xml:space="preserve"> </w:t>
      </w:r>
      <w:r>
        <w:rPr>
          <w:rFonts w:ascii="Adobe 仿宋 Std R" w:hAnsi="Adobe 仿宋 Std R" w:eastAsia="Adobe 仿宋 Std R" w:cs="黑体"/>
          <w:kern w:val="2"/>
          <w:sz w:val="32"/>
          <w:szCs w:val="30"/>
        </w:rPr>
        <w:t>一、部门主要职责</w:t>
      </w:r>
    </w:p>
    <w:p>
      <w:pPr>
        <w:pStyle w:val="8"/>
        <w:spacing w:line="560" w:lineRule="atLeast"/>
        <w:ind w:firstLine="1280" w:firstLineChars="40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二、</w:t>
      </w:r>
      <w:r>
        <w:rPr>
          <w:rFonts w:hint="eastAsia" w:ascii="Adobe 仿宋 Std R" w:hAnsi="Adobe 仿宋 Std R" w:eastAsia="Adobe 仿宋 Std R" w:cs="黑体"/>
          <w:kern w:val="2"/>
          <w:sz w:val="32"/>
          <w:szCs w:val="30"/>
        </w:rPr>
        <w:t>机构设置及人员情况</w:t>
      </w:r>
    </w:p>
    <w:p>
      <w:pPr>
        <w:pStyle w:val="8"/>
        <w:spacing w:line="560" w:lineRule="atLeast"/>
        <w:ind w:firstLine="640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第二部分  赣州市中心血站2021年部门预算表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一、《收支预算总表》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二、《部门收入总表》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三、《部门支出总表》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四、《财政拨款收支总表》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五、《一般公共预算支出表》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六、《一般公共预算基本支出表》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七、《一般公共预算“三公”经费支出表》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八、《政府性基金预算支出表》</w:t>
      </w:r>
    </w:p>
    <w:p>
      <w:pPr>
        <w:pStyle w:val="8"/>
        <w:tabs>
          <w:tab w:val="left" w:pos="6546"/>
        </w:tabs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hint="eastAsia" w:ascii="Adobe 仿宋 Std R" w:hAnsi="Adobe 仿宋 Std R" w:eastAsia="Adobe 仿宋 Std R" w:cs="黑体"/>
          <w:kern w:val="2"/>
          <w:sz w:val="32"/>
          <w:szCs w:val="30"/>
        </w:rPr>
        <w:t>九、</w:t>
      </w:r>
      <w:r>
        <w:rPr>
          <w:rFonts w:ascii="Adobe 仿宋 Std R" w:hAnsi="Adobe 仿宋 Std R" w:eastAsia="Adobe 仿宋 Std R" w:cs="黑体"/>
          <w:kern w:val="2"/>
          <w:sz w:val="32"/>
          <w:szCs w:val="30"/>
        </w:rPr>
        <w:t>《</w:t>
      </w:r>
      <w:r>
        <w:rPr>
          <w:rFonts w:hint="eastAsia" w:ascii="Adobe 仿宋 Std R" w:hAnsi="Adobe 仿宋 Std R" w:eastAsia="Adobe 仿宋 Std R" w:cs="黑体"/>
          <w:kern w:val="2"/>
          <w:sz w:val="32"/>
          <w:szCs w:val="30"/>
        </w:rPr>
        <w:t>重点项目绩效目标表</w:t>
      </w:r>
      <w:r>
        <w:rPr>
          <w:rFonts w:ascii="Adobe 仿宋 Std R" w:hAnsi="Adobe 仿宋 Std R" w:eastAsia="Adobe 仿宋 Std R" w:cs="黑体"/>
          <w:kern w:val="2"/>
          <w:sz w:val="32"/>
          <w:szCs w:val="30"/>
        </w:rPr>
        <w:t>》</w:t>
      </w:r>
    </w:p>
    <w:p>
      <w:pPr>
        <w:pStyle w:val="8"/>
        <w:spacing w:line="560" w:lineRule="atLeast"/>
        <w:ind w:firstLine="640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第三部分 赣州市中心血站 2021年部门预算情况说明</w:t>
      </w:r>
    </w:p>
    <w:p>
      <w:pPr>
        <w:pStyle w:val="8"/>
        <w:spacing w:line="560" w:lineRule="atLeast"/>
        <w:ind w:firstLine="128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>一、</w:t>
      </w:r>
      <w:r>
        <w:rPr>
          <w:rFonts w:hint="eastAsia" w:ascii="Adobe 仿宋 Std R" w:hAnsi="Adobe 仿宋 Std R" w:eastAsia="Adobe 仿宋 Std R" w:cs="黑体"/>
          <w:kern w:val="2"/>
          <w:sz w:val="32"/>
          <w:szCs w:val="30"/>
        </w:rPr>
        <w:t>2021</w:t>
      </w:r>
      <w:r>
        <w:rPr>
          <w:rFonts w:ascii="Adobe 仿宋 Std R" w:hAnsi="Adobe 仿宋 Std R" w:eastAsia="Adobe 仿宋 Std R" w:cs="黑体"/>
          <w:kern w:val="2"/>
          <w:sz w:val="32"/>
          <w:szCs w:val="30"/>
        </w:rPr>
        <w:t>年部门预算收支情况说明</w:t>
      </w:r>
    </w:p>
    <w:p>
      <w:pPr>
        <w:pStyle w:val="8"/>
        <w:spacing w:line="560" w:lineRule="atLeast"/>
        <w:ind w:firstLine="1120" w:firstLineChars="350"/>
        <w:jc w:val="left"/>
        <w:rPr>
          <w:rFonts w:ascii="Adobe 仿宋 Std R" w:hAnsi="Adobe 仿宋 Std R" w:eastAsia="Adobe 仿宋 Std R" w:cs="黑体"/>
          <w:kern w:val="2"/>
          <w:sz w:val="32"/>
          <w:szCs w:val="30"/>
        </w:rPr>
      </w:pPr>
      <w:r>
        <w:rPr>
          <w:rFonts w:ascii="Adobe 仿宋 Std R" w:hAnsi="Adobe 仿宋 Std R" w:eastAsia="Adobe 仿宋 Std R" w:cs="黑体"/>
          <w:kern w:val="2"/>
          <w:sz w:val="32"/>
          <w:szCs w:val="30"/>
        </w:rPr>
        <w:t xml:space="preserve"> 二、</w:t>
      </w:r>
      <w:r>
        <w:rPr>
          <w:rFonts w:hint="eastAsia" w:ascii="Adobe 仿宋 Std R" w:hAnsi="Adobe 仿宋 Std R" w:eastAsia="Adobe 仿宋 Std R" w:cs="黑体"/>
          <w:kern w:val="2"/>
          <w:sz w:val="32"/>
          <w:szCs w:val="30"/>
        </w:rPr>
        <w:t>2021</w:t>
      </w:r>
      <w:r>
        <w:rPr>
          <w:rFonts w:ascii="Adobe 仿宋 Std R" w:hAnsi="Adobe 仿宋 Std R" w:eastAsia="Adobe 仿宋 Std R" w:cs="黑体"/>
          <w:kern w:val="2"/>
          <w:sz w:val="32"/>
          <w:szCs w:val="30"/>
        </w:rPr>
        <w:t>年“三公”经费预算情况说明</w:t>
      </w:r>
    </w:p>
    <w:p>
      <w:pPr>
        <w:pStyle w:val="8"/>
        <w:spacing w:line="560" w:lineRule="atLeast"/>
        <w:ind w:firstLine="640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第四部分  名词解释</w:t>
      </w:r>
    </w:p>
    <w:p>
      <w:pPr>
        <w:widowControl/>
        <w:spacing w:line="54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2"/>
          <w:szCs w:val="32"/>
        </w:rPr>
        <w:t>赣州市中心血站是隶属于赣州市卫生健康委的公益性卫生事业单位，是根据上级的要求和赣州市血液事业发展的需要，于1995年4月，经赣州市编委批准成立的市级采供血机构。我站是赣州市唯一一家采供血机构，主要负责全市20个县（市、区）200余家医疗单位的临床供血，服务半径230km，年采血量约27吨。业务工作有无偿献血者招募、血液采集、检测和制备，保障我市临床用血供应以及医疗用血的业务指导等工作。</w:t>
      </w: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二、机构设置及人员情况</w:t>
      </w:r>
    </w:p>
    <w:p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2021年赣州市中心血站共有预算单位1个。</w:t>
      </w:r>
    </w:p>
    <w:p>
      <w:pPr>
        <w:widowControl/>
        <w:spacing w:line="54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编制人数小计60人,其中：全部补助事业编制人数60人。实有人数小计163人,其中：在职人数小计163人,全部补助</w:t>
      </w:r>
    </w:p>
    <w:p>
      <w:pPr>
        <w:widowControl/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事业在职人数163人。退休人数小计22人。</w:t>
      </w:r>
    </w:p>
    <w:p>
      <w:pPr>
        <w:widowControl/>
        <w:spacing w:line="540" w:lineRule="exact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</w:p>
    <w:p>
      <w:pPr>
        <w:widowControl/>
        <w:spacing w:line="580" w:lineRule="exact"/>
        <w:ind w:firstLine="643" w:firstLineChars="200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第二部分 赣州市中心血站2021年部门预算表</w:t>
      </w:r>
    </w:p>
    <w:p>
      <w:pPr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（详见附表）</w:t>
      </w:r>
    </w:p>
    <w:p>
      <w:pPr>
        <w:ind w:firstLine="640" w:firstLineChars="200"/>
        <w:jc w:val="left"/>
        <w:rPr>
          <w:rStyle w:val="9"/>
          <w:rFonts w:ascii="仿宋" w:hAnsi="仿宋" w:eastAsia="仿宋"/>
          <w:bCs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仿宋_GB2312" w:hAnsi="Calibri" w:eastAsia="仿宋_GB2312" w:cs="宋体"/>
          <w:b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    第三部分 </w:t>
      </w:r>
      <w:r>
        <w:rPr>
          <w:rFonts w:hint="eastAsia" w:ascii="仿宋_GB2312" w:eastAsia="仿宋_GB2312"/>
          <w:b/>
          <w:sz w:val="32"/>
          <w:szCs w:val="30"/>
        </w:rPr>
        <w:t xml:space="preserve"> 赣州市中心血站2021年部门预算情况说明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一、2021年部门预算收支情况说明</w:t>
      </w:r>
    </w:p>
    <w:p>
      <w:pPr>
        <w:rPr>
          <w:rStyle w:val="9"/>
          <w:rFonts w:ascii="仿宋_GB2312" w:hAnsi="仿宋_GB2312" w:eastAsia="仿宋_GB2312" w:cs="仿宋_GB2312"/>
          <w:b/>
          <w:sz w:val="32"/>
          <w:szCs w:val="32"/>
        </w:rPr>
      </w:pPr>
      <w:r>
        <w:rPr>
          <w:rStyle w:val="9"/>
          <w:rFonts w:hint="eastAsia" w:ascii="Adobe 仿宋 Std R" w:hAnsi="Adobe 仿宋 Std R" w:eastAsia="Adobe 仿宋 Std R"/>
          <w:b/>
          <w:sz w:val="32"/>
          <w:szCs w:val="32"/>
        </w:rPr>
        <w:t xml:space="preserve">   </w:t>
      </w: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>(一)收入预算情况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2021年赣州市中心血站收入预算总额为9347.26万元，较上年预算安排增加1872.58万元，一方面是业务收入正常增长，一方面是非税收入返还比例由85.3%提高至100%。其中：财政拨款收入7356.15万元，国库集中支付网上结转1991.11万元。</w:t>
      </w:r>
    </w:p>
    <w:p>
      <w:pPr>
        <w:ind w:firstLine="321" w:firstLineChars="100"/>
        <w:rPr>
          <w:rStyle w:val="9"/>
          <w:rFonts w:ascii="仿宋_GB2312" w:hAnsi="仿宋_GB2312" w:eastAsia="仿宋_GB2312" w:cs="仿宋_GB2312"/>
          <w:b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 xml:space="preserve"> (二)支出预算情况</w:t>
      </w:r>
    </w:p>
    <w:p>
      <w:pPr>
        <w:ind w:firstLine="640" w:firstLineChars="200"/>
        <w:rPr>
          <w:rStyle w:val="9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2021年赣州市中心血站支出预算总额为9347.26万元，较上年预算安排增加1872.58万元，一方面是业务增长导致试剂耗材使用正常增长，一方面是人员增加，一方面是老旧设备及采血车辆的更换。</w:t>
      </w:r>
    </w:p>
    <w:p>
      <w:pPr>
        <w:ind w:firstLine="640" w:firstLineChars="200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按支出项目划分：基本支出7356.15万元，项目支出1991.11万元。</w:t>
      </w:r>
    </w:p>
    <w:p>
      <w:pPr>
        <w:ind w:firstLine="640" w:firstLineChars="200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按支出功能科目划分：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begin"/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instrText xml:space="preserve">MERGEFIELD ${page400644146.ds247441498_REP_BGT_T_HC1100002019DXQ01_GNZJMX}</w:instrTex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卫生健康支出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9331.53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万元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住房保障支出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15.73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万元。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end"/>
      </w:r>
    </w:p>
    <w:p>
      <w:pPr>
        <w:ind w:firstLine="643" w:firstLineChars="200"/>
        <w:rPr>
          <w:rStyle w:val="9"/>
          <w:rFonts w:ascii="仿宋_GB2312" w:hAnsi="仿宋_GB2312" w:eastAsia="仿宋_GB2312" w:cs="仿宋_GB2312"/>
          <w:b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>(三)财政拨款支出情况</w:t>
      </w:r>
    </w:p>
    <w:p>
      <w:pPr>
        <w:ind w:firstLine="640" w:firstLineChars="200"/>
        <w:rPr>
          <w:rStyle w:val="9"/>
          <w:rFonts w:ascii="仿宋" w:hAnsi="仿宋" w:eastAsia="仿宋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2021年赣州市中心血站财政拨款支出预算总额为7356.15万元，其中：按支出功能科目划分：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begin"/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instrText xml:space="preserve">MERGEFIELD ${page400644146.ds247441498_REP_BGT_T_HC1100002019DXQ01_GNCBMX}</w:instrTex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卫生健康支出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7340.42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万元,住房保障支出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15.73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万元。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end"/>
      </w:r>
    </w:p>
    <w:p>
      <w:pPr>
        <w:ind w:firstLine="643" w:firstLineChars="200"/>
        <w:rPr>
          <w:rStyle w:val="9"/>
          <w:rFonts w:ascii="仿宋_GB2312" w:hAnsi="仿宋_GB2312" w:eastAsia="仿宋_GB2312" w:cs="仿宋_GB2312"/>
          <w:b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>(四)政府性基金情况</w:t>
      </w:r>
    </w:p>
    <w:p>
      <w:pPr>
        <w:ind w:firstLine="640" w:firstLineChars="200"/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</w:pPr>
      <w:bookmarkStart w:id="1" w:name="_GoBack"/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无政府性基金预算拨款安排的支出</w:t>
      </w:r>
      <w:bookmarkEnd w:id="1"/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ind w:firstLine="643" w:firstLineChars="200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>(五)机关运行经费等重要事项的说明</w:t>
      </w:r>
    </w:p>
    <w:p>
      <w:pPr>
        <w:ind w:firstLine="640" w:firstLineChars="200"/>
        <w:rPr>
          <w:rStyle w:val="9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本单位为非行政参公单位，无机关运行费。</w:t>
      </w:r>
    </w:p>
    <w:p>
      <w:pPr>
        <w:ind w:firstLine="643" w:firstLineChars="200"/>
        <w:rPr>
          <w:rStyle w:val="9"/>
          <w:rFonts w:ascii="仿宋_GB2312" w:hAnsi="仿宋_GB2312" w:eastAsia="仿宋_GB2312" w:cs="仿宋_GB2312"/>
          <w:b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>(六)政府采购情况</w:t>
      </w:r>
    </w:p>
    <w:p>
      <w:pPr>
        <w:ind w:firstLine="642"/>
        <w:rPr>
          <w:rStyle w:val="9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2021年政府采购总额3574.68万元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,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其中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: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 xml:space="preserve"> 政府采购货物预算1294.58万元、政府采购工程预算980万元、政府采购服务预算1300.1万元。</w:t>
      </w:r>
    </w:p>
    <w:p>
      <w:pPr>
        <w:ind w:firstLine="643" w:firstLineChars="200"/>
        <w:rPr>
          <w:rStyle w:val="9"/>
          <w:rFonts w:ascii="仿宋_GB2312" w:hAnsi="仿宋_GB2312" w:eastAsia="仿宋_GB2312" w:cs="仿宋_GB2312"/>
          <w:b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>(七)国有资产占有使用情况</w:t>
      </w:r>
    </w:p>
    <w:p>
      <w:pPr>
        <w:ind w:firstLine="642"/>
        <w:rPr>
          <w:rStyle w:val="9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截至2020年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12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月31日,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begin"/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instrText xml:space="preserve">MERGEFIELD ${page400644146.ds532982397_REP_JX_BAS_AGENCY_INFO_ZYFRS_S_CLSYS}</w:instrTex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部门共有车辆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19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辆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其中：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业务用车2辆，特种专业技术用车17辆。</w:t>
      </w:r>
    </w:p>
    <w:p>
      <w:pPr>
        <w:ind w:firstLine="642"/>
        <w:rPr>
          <w:rStyle w:val="9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2021年部门预算安排购置车辆3辆，未安排购置单位价值200万元以上大型设备。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fldChar w:fldCharType="end"/>
      </w:r>
    </w:p>
    <w:p>
      <w:pPr>
        <w:ind w:firstLine="642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sz w:val="32"/>
          <w:szCs w:val="32"/>
        </w:rPr>
        <w:t>（八）赣州市中心血站项目情况说明（部门本级）</w:t>
      </w:r>
    </w:p>
    <w:p>
      <w:pPr>
        <w:ind w:firstLine="642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无项目支出</w:t>
      </w:r>
    </w:p>
    <w:p>
      <w:pPr>
        <w:ind w:firstLine="321" w:firstLineChars="100"/>
        <w:rPr>
          <w:rFonts w:ascii="仿宋_GB2312" w:hAnsi="仿宋_GB2312" w:eastAsia="仿宋_GB2312" w:cs="仿宋_GB2312"/>
          <w:b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0"/>
        </w:rPr>
        <w:t>2021年“三公”经费预算情况说明</w:t>
      </w:r>
    </w:p>
    <w:p>
      <w:pPr>
        <w:ind w:firstLine="642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2021年赣州市中心血站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"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三公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"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经费一般公共预算安排25.4万元，其中：</w:t>
      </w:r>
    </w:p>
    <w:p>
      <w:pPr>
        <w:ind w:firstLine="642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sz w:val="32"/>
          <w:szCs w:val="32"/>
        </w:rPr>
        <w:t>因公出国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万元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，与上年持平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。</w:t>
      </w:r>
    </w:p>
    <w:p>
      <w:pPr>
        <w:ind w:firstLine="642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sz w:val="32"/>
          <w:szCs w:val="32"/>
        </w:rPr>
        <w:t>公务接待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7.4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万元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比上年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0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万元，主要原因是：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压缩公务接待开支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。</w:t>
      </w:r>
    </w:p>
    <w:p>
      <w:pPr>
        <w:ind w:firstLine="642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sz w:val="32"/>
          <w:szCs w:val="32"/>
        </w:rPr>
        <w:t>公务用车运行0万元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比上年增（减）0万元，主要原因是：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无公务用车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。</w:t>
      </w:r>
    </w:p>
    <w:p>
      <w:pPr>
        <w:ind w:firstLine="642"/>
        <w:rPr>
          <w:rStyle w:val="9"/>
          <w:rFonts w:ascii="仿宋_GB2312" w:hAnsi="仿宋_GB2312" w:eastAsia="仿宋_GB2312" w:cs="仿宋_GB2312"/>
          <w:sz w:val="32"/>
          <w:szCs w:val="32"/>
        </w:rPr>
      </w:pPr>
      <w:r>
        <w:rPr>
          <w:rStyle w:val="9"/>
          <w:rFonts w:ascii="仿宋_GB2312" w:hAnsi="仿宋_GB2312" w:eastAsia="仿宋_GB2312" w:cs="仿宋_GB2312"/>
          <w:sz w:val="32"/>
          <w:szCs w:val="32"/>
        </w:rPr>
        <w:t>公务用车购置0万元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比上年增（减）0万元，主要原因是：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</w:rPr>
        <w:t>无购置需求</w:t>
      </w:r>
      <w:r>
        <w:rPr>
          <w:rStyle w:val="9"/>
          <w:rFonts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hd w:val="clear" w:color="auto" w:fill="FFFFFF"/>
        <w:spacing w:line="640" w:lineRule="atLeast"/>
        <w:ind w:firstLine="640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hd w:val="clear" w:color="auto" w:fill="FFFFFF"/>
        <w:spacing w:line="640" w:lineRule="atLeast"/>
        <w:ind w:firstLine="640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hd w:val="clear" w:color="auto" w:fill="FFFFFF"/>
        <w:spacing w:line="640" w:lineRule="atLeast"/>
        <w:ind w:firstLine="803" w:firstLineChars="250"/>
        <w:jc w:val="left"/>
        <w:rPr>
          <w:rFonts w:ascii="仿宋_GB2312" w:hAnsi="仿宋_GB2312" w:eastAsia="仿宋_GB2312" w:cs="仿宋_GB2312"/>
          <w:b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0"/>
        </w:rPr>
        <w:t>一、收入科目</w:t>
      </w:r>
    </w:p>
    <w:p>
      <w:pPr>
        <w:widowControl/>
        <w:numPr>
          <w:ilvl w:val="0"/>
          <w:numId w:val="1"/>
        </w:numPr>
        <w:spacing w:line="600" w:lineRule="exact"/>
        <w:ind w:firstLine="640"/>
        <w:jc w:val="left"/>
        <w:rPr>
          <w:rFonts w:ascii="仿宋_GB2312" w:hAnsi="Times New Roman" w:eastAsia="仿宋_GB2312" w:cs="Times New Roman"/>
          <w:color w:val="000000"/>
          <w:sz w:val="32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0"/>
        </w:rPr>
        <w:t>财政拨款：指市级财政当年拨付的资金。</w:t>
      </w:r>
    </w:p>
    <w:p>
      <w:pPr>
        <w:widowControl/>
        <w:spacing w:line="600" w:lineRule="exact"/>
        <w:ind w:firstLine="636"/>
        <w:jc w:val="left"/>
        <w:rPr>
          <w:rFonts w:ascii="仿宋_GB2312" w:eastAsia="仿宋_GB2312"/>
          <w:color w:val="000000"/>
          <w:sz w:val="32"/>
          <w:szCs w:val="30"/>
        </w:rPr>
      </w:pPr>
      <w:r>
        <w:rPr>
          <w:rFonts w:hint="eastAsia" w:ascii="Adobe 仿宋 Std R" w:hAnsi="Adobe 仿宋 Std R" w:eastAsia="Adobe 仿宋 Std R"/>
          <w:sz w:val="32"/>
          <w:szCs w:val="32"/>
        </w:rPr>
        <w:t>（二）</w:t>
      </w:r>
      <w:r>
        <w:rPr>
          <w:rFonts w:hint="eastAsia" w:ascii="仿宋_GB2312" w:eastAsia="仿宋_GB2312"/>
          <w:color w:val="000000"/>
          <w:sz w:val="32"/>
          <w:szCs w:val="30"/>
        </w:rPr>
        <w:t>其他收入：指除财政拨款、事业收入、事业单位经营收入等以外的各项收入。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0"/>
        </w:rPr>
      </w:pPr>
      <w:r>
        <w:rPr>
          <w:rFonts w:hint="eastAsia" w:ascii="Adobe 仿宋 Std R" w:hAnsi="Adobe 仿宋 Std R" w:eastAsia="Adobe 仿宋 Std R"/>
          <w:sz w:val="32"/>
          <w:szCs w:val="32"/>
        </w:rPr>
        <w:t>（三）</w:t>
      </w:r>
      <w:r>
        <w:rPr>
          <w:rFonts w:hint="eastAsia" w:ascii="仿宋_GB2312" w:eastAsia="仿宋_GB2312"/>
          <w:color w:val="000000"/>
          <w:sz w:val="32"/>
          <w:szCs w:val="30"/>
        </w:rPr>
        <w:t>上年结转和结余：填列2021年全部结转和结余的资金数，包括当年结转结余资金和历年滚存结转结余资金。</w:t>
      </w:r>
    </w:p>
    <w:p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0"/>
        </w:rPr>
      </w:pPr>
      <w:r>
        <w:rPr>
          <w:rFonts w:hint="eastAsia" w:ascii="仿宋_GB2312" w:hAnsi="仿宋_GB2312" w:eastAsia="仿宋_GB2312" w:cs="仿宋_GB2312"/>
          <w:b/>
          <w:sz w:val="32"/>
          <w:szCs w:val="30"/>
        </w:rPr>
        <w:t>二、支出科目</w:t>
      </w:r>
    </w:p>
    <w:p>
      <w:pPr>
        <w:ind w:firstLine="300" w:firstLineChars="1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（</w:t>
      </w:r>
      <w:r>
        <w:rPr>
          <w:rFonts w:hint="eastAsia" w:ascii="仿宋_GB2312" w:hAnsi="仿宋" w:eastAsia="仿宋_GB2312" w:cs="Times New Roman"/>
          <w:sz w:val="30"/>
          <w:szCs w:val="30"/>
        </w:rPr>
        <w:t>一</w:t>
      </w:r>
      <w:r>
        <w:rPr>
          <w:rFonts w:ascii="仿宋_GB2312" w:hAnsi="仿宋" w:eastAsia="仿宋_GB2312" w:cs="Times New Roman"/>
          <w:sz w:val="30"/>
          <w:szCs w:val="30"/>
        </w:rPr>
        <w:t>）卫生健康支出（类）公共卫生（款）采供血机构（项）：反映卫生健康部门所属采供血机构的支出。</w:t>
      </w:r>
    </w:p>
    <w:p>
      <w:pPr>
        <w:ind w:firstLine="300" w:firstLineChars="100"/>
        <w:rPr>
          <w:rFonts w:hint="eastAsia" w:ascii="仿宋_GB2312" w:hAnsi="仿宋" w:eastAsia="仿宋_GB2312" w:cs="Times New Roman"/>
          <w:sz w:val="30"/>
          <w:szCs w:val="30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（二）</w:t>
      </w:r>
      <w:r>
        <w:rPr>
          <w:rFonts w:ascii="仿宋_GB2312" w:hAnsi="仿宋" w:eastAsia="仿宋_GB2312" w:cs="Times New Roman"/>
          <w:sz w:val="30"/>
          <w:szCs w:val="30"/>
        </w:rPr>
        <w:t>卫生健康支出（类）公共卫生（款）重大公共卫生专项（项）： 反映重大疾病预防控制等重大公共卫生服务项目支出。</w:t>
      </w:r>
      <w:r>
        <w:rPr>
          <w:rFonts w:hint="eastAsia" w:ascii="仿宋_GB2312" w:hAnsi="仿宋" w:eastAsia="仿宋_GB2312" w:cs="Times New Roman"/>
          <w:sz w:val="30"/>
          <w:szCs w:val="30"/>
        </w:rPr>
        <w:t xml:space="preserve">  </w:t>
      </w:r>
    </w:p>
    <w:p>
      <w:pPr>
        <w:ind w:firstLine="300" w:firstLineChars="100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（</w:t>
      </w:r>
      <w:r>
        <w:rPr>
          <w:rFonts w:hint="eastAsia" w:ascii="仿宋_GB2312" w:hAnsi="仿宋" w:eastAsia="仿宋_GB2312" w:cs="Times New Roman"/>
          <w:sz w:val="30"/>
          <w:szCs w:val="30"/>
        </w:rPr>
        <w:t>三</w:t>
      </w:r>
      <w:r>
        <w:rPr>
          <w:rFonts w:ascii="仿宋_GB2312" w:hAnsi="仿宋" w:eastAsia="仿宋_GB2312" w:cs="Times New Roman"/>
          <w:sz w:val="30"/>
          <w:szCs w:val="30"/>
        </w:rPr>
        <w:t xml:space="preserve">）住房保障支出（类）住房改革支出（款）住房公积金（项）： 反映行政事业单位按人力资源和社会保障部、财政部规定的基本 工资和津贴补贴以及规定比例为职工缴纳的住房公积金。 </w:t>
      </w:r>
    </w:p>
    <w:p>
      <w:pPr>
        <w:ind w:firstLine="300" w:firstLineChars="100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（</w:t>
      </w:r>
      <w:r>
        <w:rPr>
          <w:rFonts w:hint="eastAsia" w:ascii="仿宋_GB2312" w:hAnsi="仿宋" w:eastAsia="仿宋_GB2312" w:cs="Times New Roman"/>
          <w:sz w:val="30"/>
          <w:szCs w:val="30"/>
        </w:rPr>
        <w:t>四</w:t>
      </w:r>
      <w:r>
        <w:rPr>
          <w:rFonts w:ascii="仿宋_GB2312" w:hAnsi="仿宋" w:eastAsia="仿宋_GB2312" w:cs="Times New Roman"/>
          <w:sz w:val="30"/>
          <w:szCs w:val="30"/>
        </w:rPr>
        <w:t xml:space="preserve">）“三公”经费支出：指本部门用财政拨款安排的因公出 国（境）费、公务用车购置及运行费和公务接待费。 </w:t>
      </w:r>
    </w:p>
    <w:p>
      <w:pPr>
        <w:ind w:firstLine="320" w:firstLineChars="1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0D33017"/>
    <w:rsid w:val="000127BA"/>
    <w:rsid w:val="00033EA5"/>
    <w:rsid w:val="00076644"/>
    <w:rsid w:val="00140369"/>
    <w:rsid w:val="001C1A5A"/>
    <w:rsid w:val="00200A30"/>
    <w:rsid w:val="00255C65"/>
    <w:rsid w:val="00625894"/>
    <w:rsid w:val="006D1A59"/>
    <w:rsid w:val="007007F3"/>
    <w:rsid w:val="007C4954"/>
    <w:rsid w:val="007F3836"/>
    <w:rsid w:val="00A21BB3"/>
    <w:rsid w:val="00A9343C"/>
    <w:rsid w:val="00B5253B"/>
    <w:rsid w:val="00BB6871"/>
    <w:rsid w:val="00D50231"/>
    <w:rsid w:val="00D86417"/>
    <w:rsid w:val="00F31DA1"/>
    <w:rsid w:val="00F469A0"/>
    <w:rsid w:val="1D363AEE"/>
    <w:rsid w:val="25F02ECF"/>
    <w:rsid w:val="2E4A0DA0"/>
    <w:rsid w:val="30C17CEE"/>
    <w:rsid w:val="35766FBA"/>
    <w:rsid w:val="40D33017"/>
    <w:rsid w:val="56CC326D"/>
    <w:rsid w:val="6A1B137A"/>
    <w:rsid w:val="79A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9">
    <w:name w:val="row_tree_level_4"/>
    <w:basedOn w:val="6"/>
    <w:qFormat/>
    <w:uiPriority w:val="0"/>
  </w:style>
  <w:style w:type="character" w:customStyle="1" w:styleId="10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1665</Words>
  <Characters>1853</Characters>
  <Lines>15</Lines>
  <Paragraphs>4</Paragraphs>
  <TotalTime>81</TotalTime>
  <ScaleCrop>false</ScaleCrop>
  <LinksUpToDate>false</LinksUpToDate>
  <CharactersWithSpaces>1892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2022-08-31T08:32:00Z</dcterms:created>
  <dc:creator>孔福泉</dc:creator>
  <cp:lastModifiedBy>赵瑜</cp:lastModifiedBy>
  <dcterms:modified xsi:type="dcterms:W3CDTF">2022-09-03T08:16:36Z</dcterms:modified>
  <dc:title>关于预算公开的填报口径说明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9454E73101C24F87978EB11FA3D699B8</vt:lpwstr>
  </property>
</Properties>
</file>