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p>
    <w:p>
      <w:pPr>
        <w:jc w:val="center"/>
        <w:rPr>
          <w:b/>
          <w:bCs/>
          <w:sz w:val="40"/>
          <w:szCs w:val="40"/>
        </w:rPr>
      </w:pPr>
      <w:r>
        <w:rPr>
          <w:rFonts w:hint="eastAsia"/>
          <w:b/>
          <w:bCs/>
          <w:sz w:val="40"/>
          <w:szCs w:val="40"/>
        </w:rPr>
        <w:t>赣州市中心血站网络安全等级保护</w:t>
      </w:r>
    </w:p>
    <w:p>
      <w:pPr>
        <w:jc w:val="center"/>
        <w:rPr>
          <w:b/>
          <w:bCs/>
          <w:sz w:val="40"/>
          <w:szCs w:val="40"/>
        </w:rPr>
      </w:pPr>
      <w:r>
        <w:rPr>
          <w:rFonts w:hint="eastAsia"/>
          <w:b/>
          <w:bCs/>
          <w:sz w:val="40"/>
          <w:szCs w:val="40"/>
        </w:rPr>
        <w:t>测评服务采购需求</w:t>
      </w:r>
    </w:p>
    <w:p>
      <w:pPr>
        <w:jc w:val="center"/>
        <w:rPr>
          <w:rFonts w:ascii="Times New Roman" w:hAnsi="Times New Roman" w:eastAsia="黑体" w:cs="Times New Roman"/>
          <w:sz w:val="44"/>
          <w:szCs w:val="32"/>
        </w:rPr>
      </w:pPr>
    </w:p>
    <w:p>
      <w:pPr>
        <w:pStyle w:val="3"/>
        <w:numPr>
          <w:ilvl w:val="0"/>
          <w:numId w:val="1"/>
        </w:numPr>
      </w:pPr>
      <w:r>
        <w:rPr>
          <w:rFonts w:hint="eastAsia"/>
        </w:rPr>
        <w:t>供应商资格要求</w:t>
      </w:r>
    </w:p>
    <w:p>
      <w:pPr>
        <w:spacing w:line="360" w:lineRule="auto"/>
        <w:ind w:left="480"/>
        <w:rPr>
          <w:rFonts w:ascii="宋体" w:hAnsi="宋体"/>
          <w:sz w:val="24"/>
          <w:szCs w:val="24"/>
        </w:rPr>
      </w:pPr>
      <w:r>
        <w:rPr>
          <w:rFonts w:hint="eastAsia" w:ascii="宋体" w:hAnsi="宋体"/>
          <w:sz w:val="24"/>
          <w:szCs w:val="24"/>
        </w:rPr>
        <w:t>1、供应商需具有公安部第三研究所颁发的《网络安全服务认证证书等级保护测评服务认证》；</w:t>
      </w:r>
    </w:p>
    <w:p>
      <w:pPr>
        <w:spacing w:line="360" w:lineRule="auto"/>
        <w:ind w:left="480"/>
        <w:rPr>
          <w:rFonts w:ascii="宋体" w:hAnsi="宋体"/>
          <w:sz w:val="24"/>
          <w:szCs w:val="24"/>
        </w:rPr>
      </w:pPr>
      <w:r>
        <w:rPr>
          <w:rFonts w:ascii="宋体" w:hAnsi="宋体"/>
          <w:sz w:val="24"/>
          <w:szCs w:val="24"/>
        </w:rPr>
        <w:t>2</w:t>
      </w:r>
      <w:r>
        <w:rPr>
          <w:rFonts w:hint="eastAsia" w:ascii="宋体" w:hAnsi="宋体"/>
          <w:sz w:val="24"/>
          <w:szCs w:val="24"/>
        </w:rPr>
        <w:t>、供应商应未被列入“信用中国”网站（www.creditchina.gov.cn）、“中国政府采购网”网站（www.ccgp.gov.cn）失信被执行人名单、重大税收违法案件当事人名单、政府采购严重违法失信行为记录名单中。</w:t>
      </w:r>
    </w:p>
    <w:p>
      <w:pPr>
        <w:spacing w:line="360" w:lineRule="auto"/>
        <w:ind w:left="480"/>
        <w:rPr>
          <w:rFonts w:ascii="宋体" w:hAnsi="宋体"/>
          <w:sz w:val="24"/>
          <w:szCs w:val="24"/>
        </w:rPr>
      </w:pPr>
      <w:r>
        <w:rPr>
          <w:rFonts w:ascii="宋体" w:hAnsi="宋体"/>
          <w:sz w:val="24"/>
          <w:szCs w:val="24"/>
        </w:rPr>
        <w:t>3</w:t>
      </w:r>
      <w:r>
        <w:rPr>
          <w:rFonts w:hint="eastAsia" w:ascii="宋体" w:hAnsi="宋体"/>
          <w:sz w:val="24"/>
          <w:szCs w:val="24"/>
        </w:rPr>
        <w:t>、本项目不接受联合体参与投标。</w:t>
      </w:r>
    </w:p>
    <w:p>
      <w:pPr>
        <w:pStyle w:val="3"/>
      </w:pPr>
      <w:r>
        <w:rPr>
          <w:rFonts w:hint="eastAsia"/>
        </w:rPr>
        <w:t>二、服务背景及目标</w:t>
      </w:r>
    </w:p>
    <w:p>
      <w:pPr>
        <w:spacing w:line="360" w:lineRule="auto"/>
        <w:ind w:firstLine="480" w:firstLineChars="200"/>
        <w:rPr>
          <w:rFonts w:cs="Times New Roman" w:asciiTheme="minorEastAsia" w:hAnsiTheme="minorEastAsia"/>
          <w:kern w:val="44"/>
          <w:sz w:val="24"/>
          <w:szCs w:val="24"/>
        </w:rPr>
      </w:pPr>
      <w:r>
        <w:rPr>
          <w:rFonts w:cs="Times New Roman" w:asciiTheme="minorEastAsia" w:hAnsiTheme="minorEastAsia"/>
          <w:kern w:val="44"/>
          <w:sz w:val="24"/>
          <w:szCs w:val="24"/>
        </w:rPr>
        <w:t>为加强日常网络安全运行维护，落实等级保护制度，同时为满足网络安全监管和新等级保护等工作要求，</w:t>
      </w:r>
      <w:r>
        <w:rPr>
          <w:rFonts w:hint="eastAsia" w:cs="Times New Roman" w:asciiTheme="minorEastAsia" w:hAnsiTheme="minorEastAsia"/>
          <w:sz w:val="24"/>
          <w:szCs w:val="24"/>
        </w:rPr>
        <w:t>赣州市中心血站</w:t>
      </w:r>
      <w:r>
        <w:rPr>
          <w:rFonts w:cs="Times New Roman" w:asciiTheme="minorEastAsia" w:hAnsiTheme="minorEastAsia"/>
          <w:kern w:val="44"/>
          <w:sz w:val="24"/>
          <w:szCs w:val="24"/>
        </w:rPr>
        <w:t>组织开展网络安全等级保护测评工作。参与测评的机构应根据</w:t>
      </w:r>
      <w:r>
        <w:rPr>
          <w:rFonts w:hint="eastAsia" w:cs="Times New Roman" w:asciiTheme="minorEastAsia" w:hAnsiTheme="minorEastAsia"/>
          <w:sz w:val="24"/>
          <w:szCs w:val="24"/>
        </w:rPr>
        <w:t>赣州市中心血站</w:t>
      </w:r>
      <w:r>
        <w:rPr>
          <w:rFonts w:cs="Times New Roman" w:asciiTheme="minorEastAsia" w:hAnsiTheme="minorEastAsia"/>
          <w:kern w:val="44"/>
          <w:sz w:val="24"/>
          <w:szCs w:val="24"/>
        </w:rPr>
        <w:t>需求，按照等保测试要求提供切实有效的整改方案、咨询方案，并对整改后的信息系统进行复测，</w:t>
      </w:r>
      <w:r>
        <w:rPr>
          <w:rFonts w:hint="eastAsia" w:cs="Times New Roman" w:asciiTheme="minorEastAsia" w:hAnsiTheme="minorEastAsia"/>
          <w:kern w:val="44"/>
          <w:sz w:val="24"/>
          <w:szCs w:val="24"/>
        </w:rPr>
        <w:t>出具符合要求的《</w:t>
      </w:r>
      <w:r>
        <w:rPr>
          <w:rFonts w:cs="Times New Roman" w:asciiTheme="minorEastAsia" w:hAnsiTheme="minorEastAsia"/>
          <w:kern w:val="44"/>
          <w:sz w:val="24"/>
          <w:szCs w:val="24"/>
        </w:rPr>
        <w:t>等级保护测评报告</w:t>
      </w:r>
      <w:r>
        <w:rPr>
          <w:rFonts w:hint="eastAsia" w:cs="Times New Roman" w:asciiTheme="minorEastAsia" w:hAnsiTheme="minorEastAsia"/>
          <w:kern w:val="44"/>
          <w:sz w:val="24"/>
          <w:szCs w:val="24"/>
        </w:rPr>
        <w:t>》</w:t>
      </w:r>
      <w:r>
        <w:rPr>
          <w:rFonts w:cs="Times New Roman" w:asciiTheme="minorEastAsia" w:hAnsiTheme="minorEastAsia"/>
          <w:kern w:val="44"/>
          <w:sz w:val="24"/>
          <w:szCs w:val="24"/>
        </w:rPr>
        <w:t>。</w:t>
      </w:r>
    </w:p>
    <w:p>
      <w:pPr>
        <w:pStyle w:val="3"/>
      </w:pPr>
      <w:r>
        <w:rPr>
          <w:rFonts w:hint="eastAsia"/>
        </w:rPr>
        <w:t>三、标准和规范</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《GBT 20272—2006 信息安全技术 操作系统安全技术要求》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《GBT 20273—2006 信息安全技术 数据库管理系统安全技术要求》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《GB/T 22240—2020 信息安全技术 网络安全等级保护定级指南》</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《GBT 22239—2019 信息安全技术 网络安全等级保护基本要求》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《GB/T 25070—2019 信息安全技术 网络安全等级保护设计技术要求》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《GB/T 28448—2019 信息安全技术 网络安全等级保护测评要求》</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《信息安全等级保护管理办法》（公通字[2007]43号文件）</w:t>
      </w:r>
    </w:p>
    <w:p>
      <w:pPr>
        <w:spacing w:line="360" w:lineRule="auto"/>
        <w:ind w:firstLine="480" w:firstLineChars="200"/>
        <w:rPr>
          <w:rFonts w:ascii="宋体" w:hAnsi="宋体" w:cs="宋体"/>
          <w:sz w:val="32"/>
          <w:szCs w:val="32"/>
        </w:rPr>
      </w:pPr>
      <w:r>
        <w:rPr>
          <w:rFonts w:hint="eastAsia" w:ascii="宋体" w:hAnsi="宋体" w:eastAsia="宋体" w:cs="宋体"/>
          <w:sz w:val="24"/>
          <w:szCs w:val="24"/>
        </w:rPr>
        <w:t>《信息安全等级保护备案实施细则》（公信安[2007]1360 号）</w:t>
      </w:r>
    </w:p>
    <w:p>
      <w:pPr>
        <w:pStyle w:val="3"/>
      </w:pPr>
      <w:r>
        <w:rPr>
          <w:rFonts w:hint="eastAsia"/>
        </w:rPr>
        <w:t>四、实施原则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本项目实施方案设计与具体实施必须满足以下原则：</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1保密原则：对测评的过程数据和结果数据严格保密，未经授权不得泄露给任何单位和个人，不得利用此数据进行任何侵害招标方的行为。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2标准性原则：测评方案的设计与实施应依据国家信息系统安全等级保护的相关标准进行。</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3规范性原则：工作中的过程和文档，具有很好的规范性，可以便于项目的跟踪和控制。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4可控性原则：项目安排工作进度要跟上进度表的安排，保证工作的可控性。</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5最小影响原则：测评工作应尽可能小的影响系统和网络，并在可控范围内；测评工作不能对现有信息系统的正常运行、业务的正常开展产生任何影响。</w:t>
      </w:r>
    </w:p>
    <w:p>
      <w:pPr>
        <w:spacing w:line="360" w:lineRule="auto"/>
        <w:ind w:firstLine="480" w:firstLineChars="200"/>
        <w:rPr>
          <w:rFonts w:cs="Times New Roman" w:asciiTheme="minorEastAsia" w:hAnsiTheme="minorEastAsia"/>
          <w:b/>
          <w:sz w:val="28"/>
          <w:szCs w:val="28"/>
        </w:rPr>
      </w:pPr>
      <w:r>
        <w:rPr>
          <w:rFonts w:hint="eastAsia" w:ascii="宋体" w:hAnsi="宋体" w:eastAsia="宋体" w:cs="宋体"/>
          <w:sz w:val="24"/>
          <w:szCs w:val="24"/>
        </w:rPr>
        <w:t>6整体性原则：测评的范围和内容应当整体全面，包括国家等级保护相关要求涉及的各个层面。</w:t>
      </w:r>
    </w:p>
    <w:p>
      <w:pPr>
        <w:pStyle w:val="3"/>
      </w:pPr>
      <w:r>
        <w:rPr>
          <w:rFonts w:hint="eastAsia"/>
        </w:rPr>
        <w:t>五、服务内容及范围</w:t>
      </w:r>
    </w:p>
    <w:p>
      <w:pPr>
        <w:pStyle w:val="25"/>
        <w:spacing w:line="360" w:lineRule="auto"/>
        <w:ind w:firstLine="562"/>
        <w:jc w:val="left"/>
        <w:rPr>
          <w:rFonts w:cs="Times New Roman" w:asciiTheme="minorEastAsia" w:hAnsiTheme="minorEastAsia"/>
          <w:b/>
          <w:sz w:val="28"/>
          <w:szCs w:val="28"/>
        </w:rPr>
      </w:pPr>
      <w:r>
        <w:rPr>
          <w:rFonts w:hint="eastAsia" w:cs="Times New Roman" w:asciiTheme="minorEastAsia" w:hAnsiTheme="minorEastAsia"/>
          <w:b/>
          <w:sz w:val="28"/>
          <w:szCs w:val="28"/>
        </w:rPr>
        <w:t>1.服务内容</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2127"/>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077" w:type="dxa"/>
            <w:vAlign w:val="center"/>
          </w:tcPr>
          <w:p>
            <w:pPr>
              <w:spacing w:line="360" w:lineRule="auto"/>
              <w:jc w:val="center"/>
              <w:rPr>
                <w:rFonts w:cs="Times New Roman" w:asciiTheme="minorEastAsia" w:hAnsiTheme="minorEastAsia"/>
                <w:b/>
                <w:bCs/>
                <w:color w:val="000000"/>
                <w:sz w:val="24"/>
                <w:szCs w:val="24"/>
              </w:rPr>
            </w:pPr>
            <w:r>
              <w:rPr>
                <w:rFonts w:hint="eastAsia" w:cs="Times New Roman" w:asciiTheme="minorEastAsia" w:hAnsiTheme="minorEastAsia"/>
                <w:b/>
                <w:bCs/>
                <w:color w:val="000000"/>
                <w:sz w:val="24"/>
                <w:szCs w:val="24"/>
              </w:rPr>
              <w:t>系统</w:t>
            </w:r>
            <w:r>
              <w:rPr>
                <w:rFonts w:cs="Times New Roman" w:asciiTheme="minorEastAsia" w:hAnsiTheme="minorEastAsia"/>
                <w:b/>
                <w:bCs/>
                <w:color w:val="000000"/>
                <w:sz w:val="24"/>
                <w:szCs w:val="24"/>
              </w:rPr>
              <w:t>名称</w:t>
            </w:r>
          </w:p>
        </w:tc>
        <w:tc>
          <w:tcPr>
            <w:tcW w:w="2127" w:type="dxa"/>
            <w:vAlign w:val="center"/>
          </w:tcPr>
          <w:p>
            <w:pPr>
              <w:spacing w:line="360" w:lineRule="auto"/>
              <w:jc w:val="center"/>
              <w:rPr>
                <w:rFonts w:cs="Times New Roman" w:asciiTheme="minorEastAsia" w:hAnsiTheme="minorEastAsia"/>
                <w:b/>
                <w:bCs/>
                <w:color w:val="000000"/>
                <w:sz w:val="24"/>
                <w:szCs w:val="24"/>
              </w:rPr>
            </w:pPr>
            <w:r>
              <w:rPr>
                <w:rFonts w:hint="eastAsia" w:cs="Times New Roman" w:asciiTheme="minorEastAsia" w:hAnsiTheme="minorEastAsia"/>
                <w:b/>
                <w:bCs/>
                <w:color w:val="000000"/>
                <w:sz w:val="24"/>
                <w:szCs w:val="24"/>
              </w:rPr>
              <w:t>系统等级</w:t>
            </w:r>
          </w:p>
        </w:tc>
        <w:tc>
          <w:tcPr>
            <w:tcW w:w="2318" w:type="dxa"/>
          </w:tcPr>
          <w:p>
            <w:pPr>
              <w:spacing w:line="360" w:lineRule="auto"/>
              <w:jc w:val="center"/>
              <w:rPr>
                <w:rFonts w:cs="Times New Roman" w:asciiTheme="minorEastAsia" w:hAnsiTheme="minorEastAsia"/>
                <w:b/>
                <w:bCs/>
                <w:sz w:val="24"/>
                <w:szCs w:val="24"/>
              </w:rPr>
            </w:pPr>
            <w:r>
              <w:rPr>
                <w:rFonts w:hint="eastAsia" w:cs="Times New Roman" w:asciiTheme="minorEastAsia" w:hAnsiTheme="minorEastAsia"/>
                <w:b/>
                <w:bCs/>
                <w:sz w:val="24"/>
                <w:szCs w:val="24"/>
              </w:rPr>
              <w:t>测评次数及周期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077" w:type="dxa"/>
            <w:vAlign w:val="center"/>
          </w:tcPr>
          <w:p>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血液管理信息系统</w:t>
            </w:r>
          </w:p>
        </w:tc>
        <w:tc>
          <w:tcPr>
            <w:tcW w:w="2127" w:type="dxa"/>
            <w:vAlign w:val="center"/>
          </w:tcPr>
          <w:p>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三级</w:t>
            </w:r>
          </w:p>
        </w:tc>
        <w:tc>
          <w:tcPr>
            <w:tcW w:w="2318" w:type="dxa"/>
          </w:tcPr>
          <w:p>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两次（每年1次）</w:t>
            </w:r>
          </w:p>
        </w:tc>
      </w:tr>
    </w:tbl>
    <w:p>
      <w:pPr>
        <w:pStyle w:val="25"/>
        <w:spacing w:line="360" w:lineRule="auto"/>
        <w:ind w:firstLine="562"/>
        <w:jc w:val="left"/>
        <w:rPr>
          <w:rFonts w:cs="Times New Roman" w:asciiTheme="minorEastAsia" w:hAnsiTheme="minorEastAsia"/>
          <w:b/>
          <w:sz w:val="28"/>
          <w:szCs w:val="28"/>
        </w:rPr>
      </w:pPr>
      <w:r>
        <w:rPr>
          <w:rFonts w:hint="eastAsia" w:cs="Times New Roman" w:asciiTheme="minorEastAsia" w:hAnsiTheme="minorEastAsia"/>
          <w:b/>
          <w:sz w:val="28"/>
          <w:szCs w:val="28"/>
        </w:rPr>
        <w:t>2</w:t>
      </w:r>
      <w:r>
        <w:rPr>
          <w:rFonts w:cs="Times New Roman" w:asciiTheme="minorEastAsia" w:hAnsiTheme="minorEastAsia"/>
          <w:b/>
          <w:sz w:val="28"/>
          <w:szCs w:val="28"/>
        </w:rPr>
        <w:t>.定级备案服务</w:t>
      </w:r>
    </w:p>
    <w:p>
      <w:pPr>
        <w:pStyle w:val="27"/>
        <w:rPr>
          <w:rFonts w:cs="Times New Roman" w:asciiTheme="minorEastAsia" w:hAnsiTheme="minorEastAsia"/>
          <w:bCs/>
          <w:szCs w:val="24"/>
        </w:rPr>
      </w:pPr>
      <w:r>
        <w:rPr>
          <w:rFonts w:cs="Times New Roman" w:asciiTheme="minorEastAsia" w:hAnsiTheme="minorEastAsia"/>
          <w:bCs/>
          <w:szCs w:val="24"/>
        </w:rPr>
        <w:t>协助</w:t>
      </w:r>
      <w:r>
        <w:rPr>
          <w:rFonts w:hint="eastAsia" w:cs="Times New Roman" w:asciiTheme="minorEastAsia" w:hAnsiTheme="minorEastAsia"/>
          <w:szCs w:val="24"/>
        </w:rPr>
        <w:t>赣州市中心血站</w:t>
      </w:r>
      <w:bookmarkStart w:id="0" w:name="_GoBack"/>
      <w:bookmarkEnd w:id="0"/>
      <w:r>
        <w:rPr>
          <w:rFonts w:cs="Times New Roman" w:asciiTheme="minorEastAsia" w:hAnsiTheme="minorEastAsia"/>
          <w:bCs/>
          <w:szCs w:val="24"/>
        </w:rPr>
        <w:t>对需要进行测评的信息系统编写定级、备案材料，协助采购方到公安监管等部门办理备案手续，确保信息系统安全保护等级定级准确、备案完整。</w:t>
      </w:r>
    </w:p>
    <w:p>
      <w:pPr>
        <w:pStyle w:val="25"/>
        <w:spacing w:line="360" w:lineRule="auto"/>
        <w:ind w:firstLine="562"/>
        <w:jc w:val="left"/>
        <w:rPr>
          <w:rFonts w:cs="Times New Roman" w:asciiTheme="minorEastAsia" w:hAnsiTheme="minorEastAsia"/>
          <w:b/>
          <w:sz w:val="28"/>
          <w:szCs w:val="28"/>
        </w:rPr>
      </w:pPr>
      <w:r>
        <w:rPr>
          <w:rFonts w:hint="eastAsia" w:cs="Times New Roman" w:asciiTheme="minorEastAsia" w:hAnsiTheme="minorEastAsia"/>
          <w:b/>
          <w:sz w:val="28"/>
          <w:szCs w:val="28"/>
        </w:rPr>
        <w:t>3</w:t>
      </w:r>
      <w:r>
        <w:rPr>
          <w:rFonts w:cs="Times New Roman" w:asciiTheme="minorEastAsia" w:hAnsiTheme="minorEastAsia"/>
          <w:b/>
          <w:sz w:val="28"/>
          <w:szCs w:val="28"/>
        </w:rPr>
        <w:t>.等级保护测评服务</w:t>
      </w:r>
    </w:p>
    <w:p>
      <w:pPr>
        <w:pStyle w:val="27"/>
        <w:rPr>
          <w:rFonts w:cs="Times New Roman" w:asciiTheme="minorEastAsia" w:hAnsiTheme="minorEastAsia"/>
          <w:bCs/>
          <w:szCs w:val="24"/>
        </w:rPr>
      </w:pPr>
      <w:r>
        <w:rPr>
          <w:rFonts w:cs="Times New Roman" w:asciiTheme="minorEastAsia" w:hAnsiTheme="minorEastAsia"/>
          <w:bCs/>
          <w:szCs w:val="24"/>
        </w:rPr>
        <w:t>依据《GB/T 22239-2019 信息安全技术信息系统安全等级保护基本要求》《</w:t>
      </w:r>
      <w:r>
        <w:fldChar w:fldCharType="begin"/>
      </w:r>
      <w:r>
        <w:instrText xml:space="preserve"> HYPERLINK "http://www.baidu.com/link?url=mXgRblKIGLNk3k6UhKsFa_-6T1vQsBrKifbgzd1LtI4JXx5BRGffiSBkI_QepRsUF5AeucrF2fSo1nJ3VT3DFMXXpjVad_vwO2qPQqzDVaq" \t "_blank" </w:instrText>
      </w:r>
      <w:r>
        <w:fldChar w:fldCharType="separate"/>
      </w:r>
      <w:r>
        <w:rPr>
          <w:rFonts w:cs="Times New Roman" w:asciiTheme="minorEastAsia" w:hAnsiTheme="minorEastAsia"/>
          <w:bCs/>
          <w:szCs w:val="24"/>
        </w:rPr>
        <w:t>GB/T 28448-2019 信息安全技术信息系统安全等级保护测评要求</w:t>
      </w:r>
      <w:r>
        <w:rPr>
          <w:rFonts w:cs="Times New Roman" w:asciiTheme="minorEastAsia" w:hAnsiTheme="minorEastAsia"/>
          <w:bCs/>
          <w:szCs w:val="24"/>
        </w:rPr>
        <w:fldChar w:fldCharType="end"/>
      </w:r>
      <w:r>
        <w:rPr>
          <w:rFonts w:cs="Times New Roman" w:asciiTheme="minorEastAsia" w:hAnsiTheme="minorEastAsia"/>
          <w:bCs/>
          <w:szCs w:val="24"/>
        </w:rPr>
        <w:t>》等标准的要求，对</w:t>
      </w:r>
      <w:r>
        <w:rPr>
          <w:rFonts w:hint="eastAsia" w:cs="Times New Roman" w:asciiTheme="minorEastAsia" w:hAnsiTheme="minorEastAsia"/>
          <w:bCs/>
          <w:szCs w:val="24"/>
        </w:rPr>
        <w:t>赣州市中心血站</w:t>
      </w:r>
      <w:r>
        <w:rPr>
          <w:rFonts w:cs="Times New Roman" w:asciiTheme="minorEastAsia" w:hAnsiTheme="minorEastAsia"/>
          <w:bCs/>
          <w:szCs w:val="24"/>
        </w:rPr>
        <w:t>需要进行测评的信息系统进行等级测评，出具符合国家网络安全等级保护格式要求的等级测评报告。测评内容应包括但不限于以下内容：</w:t>
      </w:r>
    </w:p>
    <w:p>
      <w:pPr>
        <w:pStyle w:val="27"/>
        <w:rPr>
          <w:rFonts w:cs="Times New Roman" w:asciiTheme="minorEastAsia" w:hAnsiTheme="minorEastAsia"/>
          <w:bCs/>
          <w:szCs w:val="24"/>
        </w:rPr>
      </w:pPr>
      <w:r>
        <w:rPr>
          <w:rFonts w:hint="eastAsia" w:cs="Times New Roman" w:asciiTheme="minorEastAsia" w:hAnsiTheme="minorEastAsia"/>
          <w:bCs/>
          <w:szCs w:val="24"/>
        </w:rPr>
        <w:t>（1）安全物理环境</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测评内容主要包括：物理位置的选择、物理访问控制、防盗窃和防破坏、防雷击、防火、防水和防潮、防静电、温湿度控制、电力供应、电磁防护等。</w:t>
      </w:r>
    </w:p>
    <w:p>
      <w:pPr>
        <w:pStyle w:val="27"/>
        <w:rPr>
          <w:rFonts w:cs="Times New Roman" w:asciiTheme="minorEastAsia" w:hAnsiTheme="minorEastAsia"/>
          <w:bCs/>
          <w:szCs w:val="24"/>
        </w:rPr>
      </w:pPr>
      <w:r>
        <w:rPr>
          <w:rFonts w:hint="eastAsia" w:cs="Times New Roman" w:asciiTheme="minorEastAsia" w:hAnsiTheme="minorEastAsia"/>
          <w:bCs/>
          <w:szCs w:val="24"/>
        </w:rPr>
        <w:t>（2）安全通信网络</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测评内容主要包括：网络架构、通信传输、可信验证等。</w:t>
      </w:r>
    </w:p>
    <w:p>
      <w:pPr>
        <w:pStyle w:val="27"/>
        <w:rPr>
          <w:rFonts w:cs="Times New Roman" w:asciiTheme="minorEastAsia" w:hAnsiTheme="minorEastAsia"/>
          <w:bCs/>
          <w:szCs w:val="24"/>
        </w:rPr>
      </w:pPr>
      <w:r>
        <w:rPr>
          <w:rFonts w:hint="eastAsia" w:cs="Times New Roman" w:asciiTheme="minorEastAsia" w:hAnsiTheme="minorEastAsia"/>
          <w:bCs/>
          <w:szCs w:val="24"/>
        </w:rPr>
        <w:t>（3）安全区域边界</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测评内容主要包括：边界防护、访问控制、入侵防范、恶意代码和垃圾邮件防范、安全审计、可信验证等。</w:t>
      </w:r>
    </w:p>
    <w:p>
      <w:pPr>
        <w:pStyle w:val="27"/>
        <w:rPr>
          <w:rFonts w:cs="Times New Roman" w:asciiTheme="minorEastAsia" w:hAnsiTheme="minorEastAsia"/>
          <w:bCs/>
          <w:szCs w:val="24"/>
        </w:rPr>
      </w:pPr>
      <w:r>
        <w:rPr>
          <w:rFonts w:hint="eastAsia" w:cs="Times New Roman" w:asciiTheme="minorEastAsia" w:hAnsiTheme="minorEastAsia"/>
          <w:bCs/>
          <w:szCs w:val="24"/>
        </w:rPr>
        <w:t>（4）安全计算环境</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测评内容主要包括：身份鉴别、访问控制、安全审计、入侵防范、恶意代码防范、可信验证、数据完整性、数据保密性、数据备份恢复、剩余信息保护、个人信息保护等。</w:t>
      </w:r>
    </w:p>
    <w:p>
      <w:pPr>
        <w:pStyle w:val="27"/>
        <w:rPr>
          <w:rFonts w:cs="Times New Roman" w:asciiTheme="minorEastAsia" w:hAnsiTheme="minorEastAsia"/>
          <w:bCs/>
          <w:szCs w:val="24"/>
        </w:rPr>
      </w:pPr>
      <w:r>
        <w:rPr>
          <w:rFonts w:hint="eastAsia" w:cs="Times New Roman" w:asciiTheme="minorEastAsia" w:hAnsiTheme="minorEastAsia"/>
          <w:bCs/>
          <w:szCs w:val="24"/>
        </w:rPr>
        <w:t>（5）安全管理中心</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测评内容主要包括：系统管理、审计管理、安全管理、集中管理等。</w:t>
      </w:r>
    </w:p>
    <w:p>
      <w:pPr>
        <w:pStyle w:val="27"/>
        <w:rPr>
          <w:rFonts w:cs="Times New Roman" w:asciiTheme="minorEastAsia" w:hAnsiTheme="minorEastAsia"/>
          <w:bCs/>
          <w:szCs w:val="24"/>
        </w:rPr>
      </w:pPr>
      <w:r>
        <w:rPr>
          <w:rFonts w:hint="eastAsia" w:cs="Times New Roman" w:asciiTheme="minorEastAsia" w:hAnsiTheme="minorEastAsia"/>
          <w:bCs/>
          <w:szCs w:val="24"/>
        </w:rPr>
        <w:t>（6）安全管理制度</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测评内容主要包括：安全策略、管理制度、制定和发布、评审和修订等。</w:t>
      </w:r>
    </w:p>
    <w:p>
      <w:pPr>
        <w:pStyle w:val="27"/>
        <w:rPr>
          <w:rFonts w:cs="Times New Roman" w:asciiTheme="minorEastAsia" w:hAnsiTheme="minorEastAsia"/>
          <w:bCs/>
          <w:szCs w:val="24"/>
        </w:rPr>
      </w:pPr>
      <w:r>
        <w:rPr>
          <w:rFonts w:hint="eastAsia" w:cs="Times New Roman" w:asciiTheme="minorEastAsia" w:hAnsiTheme="minorEastAsia"/>
          <w:bCs/>
          <w:szCs w:val="24"/>
        </w:rPr>
        <w:t>（7）安全管理机构</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测评内容主要包括：岗位设置、人员配备、授权和审批、沟通和合作、审核和检查等。</w:t>
      </w:r>
    </w:p>
    <w:p>
      <w:pPr>
        <w:pStyle w:val="27"/>
        <w:rPr>
          <w:rFonts w:cs="Times New Roman" w:asciiTheme="minorEastAsia" w:hAnsiTheme="minorEastAsia"/>
          <w:bCs/>
          <w:szCs w:val="24"/>
        </w:rPr>
      </w:pPr>
      <w:r>
        <w:rPr>
          <w:rFonts w:hint="eastAsia" w:cs="Times New Roman" w:asciiTheme="minorEastAsia" w:hAnsiTheme="minorEastAsia"/>
          <w:bCs/>
          <w:szCs w:val="24"/>
        </w:rPr>
        <w:t>（8）安全管理人员</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测评内容主要包括：人员录用、人员离岗、安全意识教育和培训、外部人员访问管理等。</w:t>
      </w:r>
    </w:p>
    <w:p>
      <w:pPr>
        <w:pStyle w:val="27"/>
        <w:rPr>
          <w:rFonts w:cs="Times New Roman" w:asciiTheme="minorEastAsia" w:hAnsiTheme="minorEastAsia"/>
          <w:bCs/>
          <w:szCs w:val="24"/>
        </w:rPr>
      </w:pPr>
      <w:r>
        <w:rPr>
          <w:rFonts w:hint="eastAsia" w:cs="Times New Roman" w:asciiTheme="minorEastAsia" w:hAnsiTheme="minorEastAsia"/>
          <w:bCs/>
          <w:szCs w:val="24"/>
        </w:rPr>
        <w:t>（9）安全建设管理</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测评内容主要包括：定级和备案、安全方案设计、产品采购和使用、自行软件开发、外包软件开发、工程实施、测试验收、系统交付、等级测评、服务供应商选择等。</w:t>
      </w:r>
    </w:p>
    <w:p>
      <w:pPr>
        <w:pStyle w:val="27"/>
        <w:rPr>
          <w:rFonts w:cs="Times New Roman" w:asciiTheme="minorEastAsia" w:hAnsiTheme="minorEastAsia"/>
          <w:bCs/>
          <w:szCs w:val="24"/>
        </w:rPr>
      </w:pPr>
      <w:r>
        <w:rPr>
          <w:rFonts w:hint="eastAsia" w:cs="Times New Roman" w:asciiTheme="minorEastAsia" w:hAnsiTheme="minorEastAsia"/>
          <w:bCs/>
          <w:szCs w:val="24"/>
        </w:rPr>
        <w:t>（10）安全运维管理</w:t>
      </w:r>
    </w:p>
    <w:p>
      <w:pPr>
        <w:pStyle w:val="27"/>
        <w:rPr>
          <w:rFonts w:cs="Times New Roman" w:asciiTheme="minorEastAsia" w:hAnsiTheme="minorEastAsia"/>
          <w:bCs/>
          <w:szCs w:val="24"/>
        </w:rPr>
      </w:pPr>
      <w:r>
        <w:rPr>
          <w:rFonts w:hint="eastAsia" w:cs="Times New Roman" w:asciiTheme="minorEastAsia" w:hAnsiTheme="minorEastAsia"/>
          <w:bCs/>
          <w:szCs w:val="24"/>
        </w:rPr>
        <w:t>测评内容主要包括：环境管理、资产管理、介质管理、设备维护管理、漏洞和风险管理、网络和系统安全管理、恶意代码防范管理、配置管理、密码管理、变更管理、备份与恢复管理、安全事件处置、应急预案管理、外包运维管理等。</w:t>
      </w:r>
    </w:p>
    <w:p>
      <w:pPr>
        <w:pStyle w:val="25"/>
        <w:spacing w:line="360" w:lineRule="auto"/>
        <w:ind w:firstLine="562"/>
        <w:jc w:val="left"/>
        <w:rPr>
          <w:rFonts w:cs="Times New Roman" w:asciiTheme="minorEastAsia" w:hAnsiTheme="minorEastAsia"/>
          <w:b/>
          <w:sz w:val="28"/>
          <w:szCs w:val="28"/>
        </w:rPr>
      </w:pPr>
      <w:r>
        <w:rPr>
          <w:rFonts w:hint="eastAsia" w:cs="Times New Roman" w:asciiTheme="minorEastAsia" w:hAnsiTheme="minorEastAsia"/>
          <w:b/>
          <w:sz w:val="28"/>
          <w:szCs w:val="28"/>
        </w:rPr>
        <w:t>4.实施要求</w:t>
      </w:r>
    </w:p>
    <w:p>
      <w:pPr>
        <w:pStyle w:val="27"/>
        <w:rPr>
          <w:rFonts w:cs="Times New Roman" w:asciiTheme="minorEastAsia" w:hAnsiTheme="minorEastAsia"/>
          <w:bCs/>
          <w:szCs w:val="24"/>
        </w:rPr>
      </w:pPr>
      <w:r>
        <w:rPr>
          <w:rFonts w:hint="eastAsia" w:cs="Times New Roman" w:asciiTheme="minorEastAsia" w:hAnsiTheme="minorEastAsia"/>
          <w:bCs/>
          <w:szCs w:val="24"/>
        </w:rPr>
        <w:t>（1）供应商应详细描述本次信息系统安全等级保护测评的技术方案，包括整体实施方案、等级保护测评方案、测试设备清单、时间安排、阶段性文档提交等；</w:t>
      </w:r>
    </w:p>
    <w:p>
      <w:pPr>
        <w:pStyle w:val="27"/>
        <w:rPr>
          <w:rFonts w:cs="Times New Roman" w:asciiTheme="minorEastAsia" w:hAnsiTheme="minorEastAsia"/>
          <w:bCs/>
          <w:szCs w:val="24"/>
        </w:rPr>
      </w:pPr>
      <w:r>
        <w:rPr>
          <w:rFonts w:hint="eastAsia" w:cs="Times New Roman" w:asciiTheme="minorEastAsia" w:hAnsiTheme="minorEastAsia"/>
          <w:bCs/>
          <w:szCs w:val="24"/>
        </w:rPr>
        <w:t>（2）供应商在项目现场实施周期内，必须为本项目成立等级保护测评项目部，安排包括项目经理和各测评实施小组进场调研、测评工作；</w:t>
      </w:r>
    </w:p>
    <w:p>
      <w:pPr>
        <w:pStyle w:val="27"/>
        <w:rPr>
          <w:rFonts w:cs="Times New Roman" w:asciiTheme="minorEastAsia" w:hAnsiTheme="minorEastAsia"/>
          <w:bCs/>
          <w:szCs w:val="24"/>
        </w:rPr>
      </w:pPr>
      <w:r>
        <w:rPr>
          <w:rFonts w:hint="eastAsia" w:cs="Times New Roman" w:asciiTheme="minorEastAsia" w:hAnsiTheme="minorEastAsia"/>
          <w:bCs/>
          <w:szCs w:val="24"/>
        </w:rPr>
        <w:t>（3）在采购方进行整改过程中提供必要的技术支持；</w:t>
      </w:r>
    </w:p>
    <w:p>
      <w:pPr>
        <w:pStyle w:val="27"/>
        <w:rPr>
          <w:rFonts w:cs="Times New Roman" w:asciiTheme="minorEastAsia" w:hAnsiTheme="minorEastAsia"/>
          <w:bCs/>
          <w:szCs w:val="24"/>
        </w:rPr>
      </w:pPr>
      <w:r>
        <w:rPr>
          <w:rFonts w:hint="eastAsia" w:cs="Times New Roman" w:asciiTheme="minorEastAsia" w:hAnsiTheme="minorEastAsia"/>
          <w:bCs/>
          <w:szCs w:val="24"/>
        </w:rPr>
        <w:t>（4）能按照采购方规定的工作内容及进度安排协助完成等级保护工作。</w:t>
      </w:r>
    </w:p>
    <w:p>
      <w:pPr>
        <w:pStyle w:val="27"/>
        <w:rPr>
          <w:rFonts w:cs="Times New Roman" w:asciiTheme="minorEastAsia" w:hAnsiTheme="minorEastAsia"/>
          <w:bCs/>
          <w:sz w:val="28"/>
          <w:szCs w:val="28"/>
        </w:rPr>
      </w:pPr>
      <w:r>
        <w:rPr>
          <w:rFonts w:hint="eastAsia" w:cs="Times New Roman" w:asciiTheme="minorEastAsia" w:hAnsiTheme="minorEastAsia"/>
          <w:bCs/>
          <w:szCs w:val="24"/>
        </w:rPr>
        <w:t>（5）为了保障测评服务质量与服务效果，服务过程中供应商需通过检测工具对网络中的系统、主机、流量等进行扫描和检测。</w:t>
      </w:r>
      <w:r>
        <w:rPr>
          <w:rFonts w:cs="Times New Roman" w:asciiTheme="minorEastAsia" w:hAnsiTheme="minorEastAsia"/>
          <w:bCs/>
          <w:sz w:val="28"/>
          <w:szCs w:val="28"/>
        </w:rPr>
        <w:t xml:space="preserve"> </w:t>
      </w:r>
    </w:p>
    <w:p>
      <w:pPr>
        <w:pStyle w:val="25"/>
        <w:spacing w:line="360" w:lineRule="auto"/>
        <w:ind w:firstLine="562"/>
        <w:jc w:val="left"/>
        <w:rPr>
          <w:rFonts w:cs="Times New Roman" w:asciiTheme="minorEastAsia" w:hAnsiTheme="minorEastAsia"/>
          <w:b/>
          <w:sz w:val="28"/>
          <w:szCs w:val="28"/>
        </w:rPr>
      </w:pPr>
      <w:r>
        <w:rPr>
          <w:rFonts w:hint="eastAsia" w:cs="Times New Roman" w:asciiTheme="minorEastAsia" w:hAnsiTheme="minorEastAsia"/>
          <w:b/>
          <w:sz w:val="28"/>
          <w:szCs w:val="28"/>
        </w:rPr>
        <w:t>5.协助安全建设整改</w:t>
      </w:r>
    </w:p>
    <w:p>
      <w:pPr>
        <w:pStyle w:val="27"/>
        <w:rPr>
          <w:rFonts w:cs="Times New Roman" w:asciiTheme="minorEastAsia" w:hAnsiTheme="minorEastAsia"/>
          <w:bCs/>
          <w:szCs w:val="24"/>
        </w:rPr>
      </w:pPr>
      <w:r>
        <w:rPr>
          <w:rFonts w:hint="eastAsia" w:cs="Times New Roman" w:asciiTheme="minorEastAsia" w:hAnsiTheme="minorEastAsia"/>
          <w:bCs/>
          <w:szCs w:val="24"/>
        </w:rPr>
        <w:t>供应商按照测评标准的相关指标，对被测评信息系统及相关设施进行预测评，根据测评结论提出安全整改意见和安全策略调整建议，并梳理被测评单位确实的安全管理制度，完善后形成安全管理制度汇编。</w:t>
      </w:r>
    </w:p>
    <w:p>
      <w:pPr>
        <w:pStyle w:val="25"/>
        <w:spacing w:line="360" w:lineRule="auto"/>
        <w:ind w:firstLine="562"/>
        <w:jc w:val="left"/>
        <w:rPr>
          <w:rFonts w:cs="Times New Roman" w:asciiTheme="minorEastAsia" w:hAnsiTheme="minorEastAsia"/>
          <w:b/>
          <w:sz w:val="28"/>
          <w:szCs w:val="28"/>
        </w:rPr>
      </w:pPr>
      <w:r>
        <w:rPr>
          <w:rFonts w:hint="eastAsia" w:cs="Times New Roman" w:asciiTheme="minorEastAsia" w:hAnsiTheme="minorEastAsia"/>
          <w:b/>
          <w:sz w:val="28"/>
          <w:szCs w:val="28"/>
        </w:rPr>
        <w:t>6.项目验收</w:t>
      </w:r>
    </w:p>
    <w:p>
      <w:pPr>
        <w:pStyle w:val="27"/>
        <w:rPr>
          <w:rFonts w:cs="Times New Roman" w:asciiTheme="minorEastAsia" w:hAnsiTheme="minorEastAsia"/>
          <w:bCs/>
          <w:szCs w:val="24"/>
        </w:rPr>
      </w:pPr>
      <w:r>
        <w:rPr>
          <w:rFonts w:hint="eastAsia" w:cs="Times New Roman" w:asciiTheme="minorEastAsia" w:hAnsiTheme="minorEastAsia"/>
          <w:bCs/>
          <w:szCs w:val="24"/>
        </w:rPr>
        <w:t>供应商和采购人依据项目内容和进度共同实施验收工作，验收结果和验收报告经双方确认后生效。</w:t>
      </w:r>
    </w:p>
    <w:p>
      <w:pPr>
        <w:pStyle w:val="27"/>
        <w:rPr>
          <w:rFonts w:cs="Times New Roman" w:asciiTheme="minorEastAsia" w:hAnsiTheme="minorEastAsia"/>
          <w:bCs/>
          <w:szCs w:val="24"/>
        </w:rPr>
      </w:pPr>
      <w:r>
        <w:rPr>
          <w:rFonts w:hint="eastAsia" w:cs="Times New Roman" w:asciiTheme="minorEastAsia" w:hAnsiTheme="minorEastAsia"/>
          <w:bCs/>
          <w:szCs w:val="24"/>
        </w:rPr>
        <w:t>供应商必须提交《信息系统等级保护测评报告》，协助采购人办理信息系统安全保护等级备案手续，并取得备案证书。</w:t>
      </w:r>
    </w:p>
    <w:p>
      <w:pPr>
        <w:pStyle w:val="27"/>
        <w:rPr>
          <w:rFonts w:cs="Times New Roman" w:asciiTheme="minorEastAsia" w:hAnsiTheme="minorEastAsia"/>
          <w:bCs/>
          <w:szCs w:val="24"/>
        </w:rPr>
      </w:pPr>
      <w:r>
        <w:rPr>
          <w:rFonts w:hint="eastAsia" w:cs="Times New Roman" w:asciiTheme="minorEastAsia" w:hAnsiTheme="minorEastAsia"/>
          <w:bCs/>
          <w:szCs w:val="24"/>
        </w:rPr>
        <w:t>采购人确认取得相应等保证书后全额支付服务款。</w:t>
      </w:r>
    </w:p>
    <w:p>
      <w:pPr>
        <w:pStyle w:val="3"/>
      </w:pPr>
      <w:r>
        <w:rPr>
          <w:rFonts w:hint="eastAsia"/>
        </w:rPr>
        <w:t>六、其他要求</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1、人员要求：</w:t>
      </w:r>
    </w:p>
    <w:p>
      <w:pPr>
        <w:spacing w:line="360" w:lineRule="auto"/>
        <w:ind w:firstLine="480" w:firstLineChars="200"/>
      </w:pPr>
      <w:r>
        <w:rPr>
          <w:rFonts w:hint="eastAsia" w:cs="Times New Roman" w:asciiTheme="minorEastAsia" w:hAnsiTheme="minorEastAsia"/>
          <w:sz w:val="24"/>
          <w:szCs w:val="24"/>
        </w:rPr>
        <w:t>（1）项目经理:供应商必须任命一名具备高级测评师证书的技术人员为项目经理，全面负责项目实施工作。</w:t>
      </w:r>
    </w:p>
    <w:p>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（2）派驻现场测评师</w:t>
      </w:r>
      <w:r>
        <w:rPr>
          <w:rFonts w:hint="eastAsia" w:cs="Times New Roman" w:asciiTheme="minorEastAsia" w:hAnsiTheme="minorEastAsia" w:eastAsiaTheme="minorEastAsia"/>
          <w:b w:val="0"/>
          <w:kern w:val="2"/>
          <w:sz w:val="24"/>
          <w:szCs w:val="24"/>
          <w:lang w:val="en-US" w:eastAsia="zh-CN" w:bidi="ar-SA"/>
        </w:rPr>
        <w:t>不少于4人</w:t>
      </w:r>
      <w:r>
        <w:rPr>
          <w:rFonts w:hint="eastAsia" w:cs="Times New Roman" w:asciiTheme="minorEastAsia" w:hAnsiTheme="minorEastAsia"/>
          <w:b w:val="0"/>
          <w:kern w:val="2"/>
          <w:sz w:val="24"/>
          <w:szCs w:val="24"/>
          <w:lang w:val="en-US" w:eastAsia="zh-CN" w:bidi="ar-SA"/>
        </w:rPr>
        <w:t>，</w:t>
      </w:r>
      <w:r>
        <w:rPr>
          <w:rFonts w:hint="eastAsia" w:cs="Times New Roman" w:asciiTheme="minorEastAsia" w:hAnsiTheme="minorEastAsia" w:eastAsiaTheme="minorEastAsia"/>
          <w:b w:val="0"/>
          <w:kern w:val="2"/>
          <w:sz w:val="24"/>
          <w:szCs w:val="24"/>
          <w:lang w:val="en-US" w:eastAsia="zh-CN" w:bidi="ar-SA"/>
        </w:rPr>
        <w:t>其</w:t>
      </w:r>
      <w:r>
        <w:rPr>
          <w:rFonts w:hint="eastAsia" w:cs="Times New Roman" w:asciiTheme="minorEastAsia" w:hAnsiTheme="minorEastAsia"/>
          <w:sz w:val="24"/>
          <w:szCs w:val="24"/>
        </w:rPr>
        <w:t>中须具有</w:t>
      </w:r>
      <w:r>
        <w:rPr>
          <w:rFonts w:hint="eastAsia" w:cs="Times New Roman" w:asciiTheme="minorEastAsia" w:hAnsiTheme="minorEastAsia" w:eastAsiaTheme="minorEastAsia"/>
          <w:b w:val="0"/>
          <w:kern w:val="2"/>
          <w:sz w:val="24"/>
          <w:szCs w:val="24"/>
          <w:lang w:val="en-US" w:eastAsia="zh-CN" w:bidi="ar-SA"/>
        </w:rPr>
        <w:t>至少一名</w:t>
      </w:r>
      <w:r>
        <w:rPr>
          <w:rFonts w:hint="eastAsia" w:cs="Times New Roman" w:asciiTheme="minorEastAsia" w:hAnsiTheme="minorEastAsia"/>
          <w:sz w:val="24"/>
          <w:szCs w:val="24"/>
        </w:rPr>
        <w:t>高级测评师或注册信息系统安全专业人员（CISP或CISSP）。</w:t>
      </w:r>
    </w:p>
    <w:p>
      <w:pPr>
        <w:pStyle w:val="27"/>
        <w:rPr>
          <w:rFonts w:cs="Times New Roman" w:asciiTheme="minorEastAsia" w:hAnsiTheme="minorEastAsia"/>
          <w:bCs/>
          <w:szCs w:val="24"/>
        </w:rPr>
      </w:pPr>
      <w:r>
        <w:rPr>
          <w:rFonts w:hint="eastAsia" w:cs="Times New Roman" w:asciiTheme="minorEastAsia" w:hAnsiTheme="minorEastAsia"/>
          <w:bCs/>
          <w:szCs w:val="24"/>
        </w:rPr>
        <w:t>2、质量要求：质量管理是贯穿整个项目的一项任务。通过实施有效的质量管理措施，保证本项目能够按工作范围要求、按时间、按质量完成，供应商应提供质量管理方案。</w:t>
      </w:r>
    </w:p>
    <w:p>
      <w:pPr>
        <w:pStyle w:val="27"/>
        <w:rPr>
          <w:rFonts w:cs="Times New Roman" w:asciiTheme="minorEastAsia" w:hAnsiTheme="minorEastAsia"/>
          <w:bCs/>
          <w:szCs w:val="24"/>
        </w:rPr>
      </w:pPr>
      <w:r>
        <w:rPr>
          <w:rFonts w:hint="eastAsia" w:cs="Times New Roman" w:asciiTheme="minorEastAsia" w:hAnsiTheme="minorEastAsia"/>
          <w:bCs/>
          <w:szCs w:val="24"/>
        </w:rPr>
        <w:t>3、保密要求：对测评的过程数据和结果数据严格保密，未经授权不得泄露给任何单位和个人，不得利用此数据进行任何侵害采购人的行为。</w:t>
      </w:r>
    </w:p>
    <w:p>
      <w:pPr>
        <w:pStyle w:val="27"/>
        <w:rPr>
          <w:rFonts w:cs="Times New Roman" w:asciiTheme="minorEastAsia" w:hAnsiTheme="minorEastAsia"/>
          <w:bCs/>
          <w:szCs w:val="24"/>
        </w:rPr>
      </w:pPr>
      <w:r>
        <w:rPr>
          <w:rFonts w:hint="eastAsia" w:cs="Times New Roman" w:asciiTheme="minorEastAsia" w:hAnsiTheme="minorEastAsia"/>
          <w:bCs/>
          <w:szCs w:val="24"/>
        </w:rPr>
        <w:t>4、售后服务：提供7*24小时售后服务，现场服务需2小时内到场。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D4B373-20D6-4A51-BFED-D91EB9FD38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533327-65C6-47F1-B276-CE6DB8F20E57}"/>
  </w:font>
  <w:font w:name="仿宋体">
    <w:altName w:val="仿宋"/>
    <w:panose1 w:val="00000000000000000000"/>
    <w:charset w:val="00"/>
    <w:family w:val="roman"/>
    <w:pitch w:val="default"/>
    <w:sig w:usb0="00000000" w:usb1="00000000" w:usb2="0000001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D16B0"/>
    <w:multiLevelType w:val="multilevel"/>
    <w:tmpl w:val="2F2D16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A5OTY4MTVkOGJiZDQzODQ0NmVhNmQxZDk4ODJjMzUifQ=="/>
  </w:docVars>
  <w:rsids>
    <w:rsidRoot w:val="00E96A35"/>
    <w:rsid w:val="00027147"/>
    <w:rsid w:val="000308D5"/>
    <w:rsid w:val="00042D29"/>
    <w:rsid w:val="00045610"/>
    <w:rsid w:val="00060DCF"/>
    <w:rsid w:val="00077B9C"/>
    <w:rsid w:val="0009516C"/>
    <w:rsid w:val="000B3184"/>
    <w:rsid w:val="000C04ED"/>
    <w:rsid w:val="000E17B4"/>
    <w:rsid w:val="00111202"/>
    <w:rsid w:val="001171C5"/>
    <w:rsid w:val="001279B0"/>
    <w:rsid w:val="0015747C"/>
    <w:rsid w:val="00192E33"/>
    <w:rsid w:val="001A5801"/>
    <w:rsid w:val="002021CA"/>
    <w:rsid w:val="0023526C"/>
    <w:rsid w:val="002A362F"/>
    <w:rsid w:val="002B63ED"/>
    <w:rsid w:val="002C4B7C"/>
    <w:rsid w:val="002E14C3"/>
    <w:rsid w:val="002E6AE9"/>
    <w:rsid w:val="002E7C6B"/>
    <w:rsid w:val="002F1183"/>
    <w:rsid w:val="002F1A07"/>
    <w:rsid w:val="0031239F"/>
    <w:rsid w:val="00387B14"/>
    <w:rsid w:val="003B3745"/>
    <w:rsid w:val="0040169F"/>
    <w:rsid w:val="00422A80"/>
    <w:rsid w:val="004F1C3B"/>
    <w:rsid w:val="00501089"/>
    <w:rsid w:val="00550B06"/>
    <w:rsid w:val="005723B8"/>
    <w:rsid w:val="006248CF"/>
    <w:rsid w:val="00633E3C"/>
    <w:rsid w:val="00637E50"/>
    <w:rsid w:val="006463D0"/>
    <w:rsid w:val="0066491A"/>
    <w:rsid w:val="00674BEC"/>
    <w:rsid w:val="00695747"/>
    <w:rsid w:val="006B1679"/>
    <w:rsid w:val="006C5888"/>
    <w:rsid w:val="007113E5"/>
    <w:rsid w:val="007247E9"/>
    <w:rsid w:val="00732400"/>
    <w:rsid w:val="007512F0"/>
    <w:rsid w:val="00755EA0"/>
    <w:rsid w:val="00757B4C"/>
    <w:rsid w:val="00761C85"/>
    <w:rsid w:val="0077257E"/>
    <w:rsid w:val="00777A4E"/>
    <w:rsid w:val="007A4546"/>
    <w:rsid w:val="007A60CC"/>
    <w:rsid w:val="007A640F"/>
    <w:rsid w:val="007B1DB0"/>
    <w:rsid w:val="007C6E60"/>
    <w:rsid w:val="007D2633"/>
    <w:rsid w:val="007F4C17"/>
    <w:rsid w:val="008041D4"/>
    <w:rsid w:val="00831C6A"/>
    <w:rsid w:val="00833EC9"/>
    <w:rsid w:val="00871094"/>
    <w:rsid w:val="008720DE"/>
    <w:rsid w:val="008828A7"/>
    <w:rsid w:val="008C1D9C"/>
    <w:rsid w:val="00914442"/>
    <w:rsid w:val="009237A7"/>
    <w:rsid w:val="009D13A1"/>
    <w:rsid w:val="009D3207"/>
    <w:rsid w:val="009D5531"/>
    <w:rsid w:val="009D5AA2"/>
    <w:rsid w:val="009D60FD"/>
    <w:rsid w:val="009F6332"/>
    <w:rsid w:val="00A4062C"/>
    <w:rsid w:val="00A8627B"/>
    <w:rsid w:val="00AF1AF6"/>
    <w:rsid w:val="00AF7362"/>
    <w:rsid w:val="00B11957"/>
    <w:rsid w:val="00B12AE0"/>
    <w:rsid w:val="00B21B73"/>
    <w:rsid w:val="00B25674"/>
    <w:rsid w:val="00BB1C96"/>
    <w:rsid w:val="00BD3287"/>
    <w:rsid w:val="00C738C8"/>
    <w:rsid w:val="00C87C75"/>
    <w:rsid w:val="00CC599F"/>
    <w:rsid w:val="00CE3425"/>
    <w:rsid w:val="00CF3FA2"/>
    <w:rsid w:val="00D440A8"/>
    <w:rsid w:val="00D95A91"/>
    <w:rsid w:val="00D96FB0"/>
    <w:rsid w:val="00DC2E80"/>
    <w:rsid w:val="00DC692F"/>
    <w:rsid w:val="00DC6960"/>
    <w:rsid w:val="00DE5122"/>
    <w:rsid w:val="00DE5261"/>
    <w:rsid w:val="00E5598F"/>
    <w:rsid w:val="00E63869"/>
    <w:rsid w:val="00E824C7"/>
    <w:rsid w:val="00E91896"/>
    <w:rsid w:val="00E96A35"/>
    <w:rsid w:val="00F03A04"/>
    <w:rsid w:val="00F10BDF"/>
    <w:rsid w:val="00F52C54"/>
    <w:rsid w:val="00F73A12"/>
    <w:rsid w:val="00F80E3B"/>
    <w:rsid w:val="00FF3B5D"/>
    <w:rsid w:val="02730D23"/>
    <w:rsid w:val="07EB44E8"/>
    <w:rsid w:val="0B0144A3"/>
    <w:rsid w:val="0B797F11"/>
    <w:rsid w:val="0B941820"/>
    <w:rsid w:val="0BA64E3D"/>
    <w:rsid w:val="0BD460C1"/>
    <w:rsid w:val="10441BCE"/>
    <w:rsid w:val="129624D3"/>
    <w:rsid w:val="158571B7"/>
    <w:rsid w:val="16E0559A"/>
    <w:rsid w:val="1AB1445B"/>
    <w:rsid w:val="1AE819A5"/>
    <w:rsid w:val="1CA44017"/>
    <w:rsid w:val="2262135A"/>
    <w:rsid w:val="24135347"/>
    <w:rsid w:val="26A90456"/>
    <w:rsid w:val="2AB02080"/>
    <w:rsid w:val="2AE74CA7"/>
    <w:rsid w:val="2CD74464"/>
    <w:rsid w:val="2D5025AF"/>
    <w:rsid w:val="2FF76C36"/>
    <w:rsid w:val="30CC0582"/>
    <w:rsid w:val="329B2BE5"/>
    <w:rsid w:val="353662C7"/>
    <w:rsid w:val="390917D4"/>
    <w:rsid w:val="3BE525AB"/>
    <w:rsid w:val="3D027161"/>
    <w:rsid w:val="42A84C15"/>
    <w:rsid w:val="43F80593"/>
    <w:rsid w:val="45703A5D"/>
    <w:rsid w:val="4D983659"/>
    <w:rsid w:val="4DE02FC4"/>
    <w:rsid w:val="4FC24FED"/>
    <w:rsid w:val="53D95722"/>
    <w:rsid w:val="567649A8"/>
    <w:rsid w:val="5DBC0C19"/>
    <w:rsid w:val="600D6CA0"/>
    <w:rsid w:val="621974FF"/>
    <w:rsid w:val="654060DE"/>
    <w:rsid w:val="67E97973"/>
    <w:rsid w:val="692737C0"/>
    <w:rsid w:val="69A47D05"/>
    <w:rsid w:val="6A6652AB"/>
    <w:rsid w:val="6B3A47CC"/>
    <w:rsid w:val="6C526CCC"/>
    <w:rsid w:val="6CCD33BF"/>
    <w:rsid w:val="6F0137F4"/>
    <w:rsid w:val="73A931E5"/>
    <w:rsid w:val="75ED4AD2"/>
    <w:rsid w:val="7AF977E9"/>
    <w:rsid w:val="7B6E5D6D"/>
    <w:rsid w:val="7BFF0A32"/>
    <w:rsid w:val="7C9712F4"/>
    <w:rsid w:val="7DCB3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lang w:val="en-US" w:eastAsia="zh-CN" w:bidi="ar-SA"/>
    </w:rPr>
  </w:style>
  <w:style w:type="paragraph" w:styleId="3">
    <w:name w:val="heading 1"/>
    <w:basedOn w:val="1"/>
    <w:next w:val="1"/>
    <w:link w:val="20"/>
    <w:qFormat/>
    <w:uiPriority w:val="0"/>
    <w:pPr>
      <w:keepNext/>
      <w:keepLines/>
      <w:autoSpaceDE w:val="0"/>
      <w:autoSpaceDN w:val="0"/>
      <w:spacing w:line="360" w:lineRule="auto"/>
      <w:jc w:val="left"/>
      <w:outlineLvl w:val="0"/>
    </w:pPr>
    <w:rPr>
      <w:rFonts w:eastAsia="宋体"/>
      <w:b/>
      <w:kern w:val="44"/>
      <w:sz w:val="32"/>
    </w:rPr>
  </w:style>
  <w:style w:type="paragraph" w:styleId="2">
    <w:name w:val="heading 2"/>
    <w:basedOn w:val="1"/>
    <w:next w:val="1"/>
    <w:link w:val="18"/>
    <w:unhideWhenUsed/>
    <w:qFormat/>
    <w:uiPriority w:val="0"/>
    <w:pPr>
      <w:keepNext/>
      <w:keepLines/>
      <w:autoSpaceDE w:val="0"/>
      <w:autoSpaceDN w:val="0"/>
      <w:spacing w:line="360" w:lineRule="auto"/>
      <w:jc w:val="left"/>
      <w:outlineLvl w:val="1"/>
    </w:pPr>
    <w:rPr>
      <w:rFonts w:ascii="宋体" w:hAnsi="宋体" w:eastAsia="宋体" w:cs="宋体"/>
      <w:b/>
      <w:sz w:val="28"/>
      <w:szCs w:val="22"/>
      <w:lang w:eastAsia="en-US"/>
    </w:rPr>
  </w:style>
  <w:style w:type="paragraph" w:styleId="4">
    <w:name w:val="heading 3"/>
    <w:basedOn w:val="1"/>
    <w:next w:val="1"/>
    <w:link w:val="22"/>
    <w:qFormat/>
    <w:uiPriority w:val="1"/>
    <w:pPr>
      <w:keepNext/>
      <w:keepLines/>
      <w:autoSpaceDE w:val="0"/>
      <w:autoSpaceDN w:val="0"/>
      <w:spacing w:line="360" w:lineRule="auto"/>
      <w:jc w:val="left"/>
      <w:outlineLvl w:val="2"/>
    </w:pPr>
    <w:rPr>
      <w:rFonts w:ascii="宋体" w:hAnsi="宋体" w:eastAsia="宋体" w:cs="宋体"/>
      <w:b/>
      <w:i/>
      <w:sz w:val="28"/>
      <w:szCs w:val="22"/>
      <w:lang w:eastAsia="en-US"/>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Body Text"/>
    <w:basedOn w:val="1"/>
    <w:next w:val="7"/>
    <w:qFormat/>
    <w:uiPriority w:val="0"/>
    <w:pPr>
      <w:spacing w:after="160"/>
    </w:pPr>
    <w:rPr>
      <w:rFonts w:ascii="仿宋体" w:eastAsia="仿宋体"/>
      <w:szCs w:val="24"/>
      <w:lang w:eastAsia="en-US"/>
    </w:rPr>
  </w:style>
  <w:style w:type="paragraph" w:styleId="7">
    <w:name w:val="Body Text First Indent"/>
    <w:basedOn w:val="6"/>
    <w:next w:val="8"/>
    <w:qFormat/>
    <w:uiPriority w:val="0"/>
    <w:pPr>
      <w:ind w:firstLine="100" w:firstLineChars="100"/>
    </w:pPr>
  </w:style>
  <w:style w:type="paragraph" w:styleId="8">
    <w:name w:val="Body Text First Indent 2"/>
    <w:basedOn w:val="9"/>
    <w:next w:val="1"/>
    <w:unhideWhenUsed/>
    <w:qFormat/>
    <w:uiPriority w:val="99"/>
    <w:pPr>
      <w:ind w:firstLine="420" w:firstLineChars="200"/>
    </w:p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link w:val="19"/>
    <w:qFormat/>
    <w:uiPriority w:val="0"/>
    <w:pPr>
      <w:autoSpaceDE w:val="0"/>
      <w:autoSpaceDN w:val="0"/>
      <w:spacing w:line="360" w:lineRule="auto"/>
      <w:jc w:val="left"/>
      <w:outlineLvl w:val="0"/>
    </w:pPr>
    <w:rPr>
      <w:rFonts w:eastAsia="宋体" w:asciiTheme="majorHAnsi" w:hAnsiTheme="majorHAnsi" w:cstheme="majorBidi"/>
      <w:b/>
      <w:bCs/>
      <w:sz w:val="32"/>
      <w:szCs w:val="32"/>
      <w:lang w:eastAsia="en-U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99"/>
    <w:rPr>
      <w:rFonts w:cs="Times New Roman"/>
      <w:b/>
    </w:rPr>
  </w:style>
  <w:style w:type="character" w:customStyle="1" w:styleId="18">
    <w:name w:val="标题 2 字符"/>
    <w:link w:val="2"/>
    <w:qFormat/>
    <w:uiPriority w:val="0"/>
    <w:rPr>
      <w:rFonts w:ascii="宋体" w:hAnsi="宋体" w:eastAsia="宋体" w:cs="宋体"/>
      <w:b/>
      <w:sz w:val="28"/>
      <w:szCs w:val="22"/>
      <w:lang w:eastAsia="en-US"/>
    </w:rPr>
  </w:style>
  <w:style w:type="character" w:customStyle="1" w:styleId="19">
    <w:name w:val="标题 字符"/>
    <w:basedOn w:val="16"/>
    <w:link w:val="13"/>
    <w:qFormat/>
    <w:uiPriority w:val="0"/>
    <w:rPr>
      <w:rFonts w:eastAsia="宋体" w:asciiTheme="majorHAnsi" w:hAnsiTheme="majorHAnsi" w:cstheme="majorBidi"/>
      <w:b/>
      <w:bCs/>
      <w:sz w:val="32"/>
      <w:szCs w:val="32"/>
      <w:lang w:eastAsia="en-US"/>
    </w:rPr>
  </w:style>
  <w:style w:type="character" w:customStyle="1" w:styleId="20">
    <w:name w:val="标题 1 字符"/>
    <w:link w:val="3"/>
    <w:qFormat/>
    <w:uiPriority w:val="0"/>
    <w:rPr>
      <w:rFonts w:eastAsia="宋体"/>
      <w:b/>
      <w:kern w:val="44"/>
      <w:sz w:val="32"/>
    </w:rPr>
  </w:style>
  <w:style w:type="paragraph" w:customStyle="1" w:styleId="21">
    <w:name w:val="表格"/>
    <w:qFormat/>
    <w:uiPriority w:val="0"/>
    <w:pPr>
      <w:spacing w:line="276" w:lineRule="auto"/>
      <w:jc w:val="center"/>
    </w:pPr>
    <w:rPr>
      <w:rFonts w:eastAsia="宋体" w:asciiTheme="minorHAnsi" w:hAnsiTheme="minorHAnsi" w:cstheme="minorBidi"/>
      <w:sz w:val="21"/>
      <w:lang w:val="en-US" w:eastAsia="zh-CN" w:bidi="ar-SA"/>
    </w:rPr>
  </w:style>
  <w:style w:type="character" w:customStyle="1" w:styleId="22">
    <w:name w:val="标题 3 字符"/>
    <w:link w:val="4"/>
    <w:qFormat/>
    <w:uiPriority w:val="1"/>
    <w:rPr>
      <w:rFonts w:ascii="宋体" w:hAnsi="宋体" w:eastAsia="宋体" w:cs="宋体"/>
      <w:b/>
      <w:i/>
      <w:sz w:val="28"/>
      <w:szCs w:val="22"/>
      <w:lang w:eastAsia="en-US"/>
    </w:rPr>
  </w:style>
  <w:style w:type="character" w:customStyle="1" w:styleId="23">
    <w:name w:val="页眉 字符"/>
    <w:basedOn w:val="16"/>
    <w:link w:val="12"/>
    <w:qFormat/>
    <w:uiPriority w:val="99"/>
    <w:rPr>
      <w:sz w:val="18"/>
      <w:szCs w:val="18"/>
    </w:rPr>
  </w:style>
  <w:style w:type="character" w:customStyle="1" w:styleId="24">
    <w:name w:val="页脚 字符"/>
    <w:basedOn w:val="16"/>
    <w:link w:val="11"/>
    <w:qFormat/>
    <w:uiPriority w:val="99"/>
    <w:rPr>
      <w:sz w:val="18"/>
      <w:szCs w:val="18"/>
    </w:rPr>
  </w:style>
  <w:style w:type="paragraph" w:customStyle="1" w:styleId="25">
    <w:name w:val="列表段落1"/>
    <w:basedOn w:val="1"/>
    <w:qFormat/>
    <w:uiPriority w:val="34"/>
    <w:pPr>
      <w:ind w:firstLine="420" w:firstLineChars="200"/>
    </w:pPr>
  </w:style>
  <w:style w:type="character" w:customStyle="1" w:styleId="26">
    <w:name w:val="正文标准样式ty Char2"/>
    <w:link w:val="27"/>
    <w:qFormat/>
    <w:uiPriority w:val="0"/>
    <w:rPr>
      <w:rFonts w:ascii="Times New Roman" w:hAnsi="Times New Roman" w:cs="宋体"/>
      <w:sz w:val="24"/>
    </w:rPr>
  </w:style>
  <w:style w:type="paragraph" w:customStyle="1" w:styleId="27">
    <w:name w:val="正文标准样式ty"/>
    <w:basedOn w:val="1"/>
    <w:link w:val="26"/>
    <w:qFormat/>
    <w:uiPriority w:val="0"/>
    <w:pPr>
      <w:spacing w:line="360" w:lineRule="auto"/>
      <w:ind w:firstLine="480" w:firstLineChars="200"/>
    </w:pPr>
    <w:rPr>
      <w:rFonts w:ascii="Times New Roman" w:hAnsi="Times New Roman" w:cs="宋体"/>
      <w:sz w:val="24"/>
    </w:rPr>
  </w:style>
  <w:style w:type="paragraph" w:customStyle="1" w:styleId="28">
    <w:name w:val="标题 2（绿盟科技）"/>
    <w:basedOn w:val="2"/>
    <w:next w:val="1"/>
    <w:qFormat/>
    <w:uiPriority w:val="0"/>
    <w:pPr>
      <w:widowControl/>
      <w:autoSpaceDE/>
      <w:autoSpaceDN/>
      <w:spacing w:before="120" w:after="120" w:line="240" w:lineRule="auto"/>
      <w:ind w:left="794" w:hanging="794"/>
    </w:pPr>
    <w:rPr>
      <w:rFonts w:ascii="Arial" w:hAnsi="Arial" w:eastAsia="黑体" w:cs="Times New Roman"/>
      <w:kern w:val="0"/>
      <w:sz w:val="32"/>
      <w:szCs w:val="32"/>
      <w:lang w:eastAsia="zh-CN"/>
    </w:rPr>
  </w:style>
  <w:style w:type="paragraph" w:customStyle="1" w:styleId="29">
    <w:name w:val="正文首行缩进两字符"/>
    <w:basedOn w:val="1"/>
    <w:qFormat/>
    <w:uiPriority w:val="0"/>
    <w:pPr>
      <w:spacing w:before="100" w:beforeAutospacing="1" w:after="160" w:line="360" w:lineRule="auto"/>
      <w:ind w:firstLine="200" w:firstLineChars="200"/>
    </w:pPr>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Sinopec</Company>
  <Pages>5</Pages>
  <Words>2457</Words>
  <Characters>2606</Characters>
  <Lines>20</Lines>
  <Paragraphs>5</Paragraphs>
  <TotalTime>0</TotalTime>
  <ScaleCrop>false</ScaleCrop>
  <LinksUpToDate>false</LinksUpToDate>
  <CharactersWithSpaces>2630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2024-12-24T08:04:00Z</dcterms:created>
  <dc:creator>Microwin10</dc:creator>
  <cp:lastModifiedBy>Administrator</cp:lastModifiedBy>
  <cp:lastPrinted>2024-12-24T07:59:00Z</cp:lastPrinted>
  <dcterms:modified xsi:type="dcterms:W3CDTF">2025-05-21T07:51:35Z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1217389458B743B8BD4494A96BF6C14D</vt:lpwstr>
  </property>
  <property fmtid="{D5CDD505-2E9C-101B-9397-08002B2CF9AE}" pid="4" name="KSOTemplateDocerSaveRecord">
    <vt:lpwstr>eyJoZGlkIjoiNTcxYzgyZWM2NGFlYjkxZTI2MGI1ZGRkNTQ1Mzk5YzUiLCJ1c2VySWQiOiIyMzM3MDg4OTgifQ==</vt:lpwstr>
  </property>
</Properties>
</file>