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赣州市中心血站网络安全服务项目</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采购需求</w:t>
      </w:r>
    </w:p>
    <w:p>
      <w:pPr>
        <w:spacing w:line="560" w:lineRule="exact"/>
        <w:jc w:val="center"/>
        <w:rPr>
          <w:rFonts w:ascii="方正小标宋简体" w:hAnsi="方正小标宋简体" w:eastAsia="方正小标宋简体" w:cs="方正小标宋简体"/>
          <w:sz w:val="44"/>
          <w:szCs w:val="44"/>
        </w:rPr>
      </w:pPr>
    </w:p>
    <w:p>
      <w:pPr>
        <w:numPr>
          <w:ilvl w:val="0"/>
          <w:numId w:val="1"/>
        </w:numPr>
        <w:spacing w:line="560" w:lineRule="exact"/>
        <w:jc w:val="left"/>
        <w:rPr>
          <w:rFonts w:ascii="仿宋" w:hAnsi="仿宋" w:eastAsia="仿宋" w:cs="仿宋"/>
          <w:color w:val="000000"/>
          <w:kern w:val="0"/>
          <w:sz w:val="28"/>
          <w:szCs w:val="28"/>
        </w:rPr>
      </w:pPr>
      <w:r>
        <w:rPr>
          <w:rFonts w:hint="eastAsia" w:ascii="仿宋_GB2312" w:hAnsi="仿宋_GB2312" w:eastAsia="仿宋_GB2312" w:cs="仿宋_GB2312"/>
          <w:b/>
          <w:bCs/>
          <w:sz w:val="32"/>
          <w:szCs w:val="32"/>
        </w:rPr>
        <w:t>采购项目：</w:t>
      </w:r>
      <w:r>
        <w:rPr>
          <w:rFonts w:hint="eastAsia" w:ascii="仿宋" w:hAnsi="仿宋" w:eastAsia="仿宋" w:cs="仿宋"/>
          <w:color w:val="000000"/>
          <w:kern w:val="0"/>
          <w:sz w:val="28"/>
          <w:szCs w:val="28"/>
        </w:rPr>
        <w:t>赣州市中心血站网络安全服务三年</w:t>
      </w:r>
    </w:p>
    <w:p>
      <w:pPr>
        <w:numPr>
          <w:ilvl w:val="0"/>
          <w:numId w:val="1"/>
        </w:numPr>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w:t>
      </w:r>
    </w:p>
    <w:p>
      <w:pPr>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（一）响应供应商须</w:t>
      </w:r>
      <w:r>
        <w:rPr>
          <w:rFonts w:hint="eastAsia" w:ascii="仿宋" w:hAnsi="仿宋" w:eastAsia="仿宋" w:cs="仿宋"/>
          <w:bCs/>
          <w:color w:val="auto"/>
          <w:sz w:val="28"/>
          <w:szCs w:val="28"/>
        </w:rPr>
        <w:t>提供具有中国网络安全审查技术与认证中心颁发的</w:t>
      </w:r>
      <w:bookmarkStart w:id="0" w:name="OLE_LINK1"/>
      <w:r>
        <w:rPr>
          <w:rFonts w:hint="eastAsia" w:ascii="仿宋" w:hAnsi="仿宋" w:eastAsia="仿宋" w:cs="仿宋"/>
          <w:bCs/>
          <w:color w:val="auto"/>
          <w:sz w:val="28"/>
          <w:szCs w:val="28"/>
        </w:rPr>
        <w:t>信息安全应急处理服务资质证书</w:t>
      </w:r>
      <w:bookmarkEnd w:id="0"/>
      <w:r>
        <w:rPr>
          <w:rFonts w:hint="eastAsia" w:ascii="仿宋" w:hAnsi="仿宋" w:eastAsia="仿宋" w:cs="仿宋"/>
          <w:bCs/>
          <w:color w:val="auto"/>
          <w:sz w:val="28"/>
          <w:szCs w:val="28"/>
          <w:lang w:val="en-US" w:eastAsia="zh-CN"/>
        </w:rPr>
        <w:t>复印件并加盖响应供应商公章</w:t>
      </w:r>
      <w:r>
        <w:rPr>
          <w:rFonts w:hint="eastAsia" w:ascii="仿宋" w:hAnsi="仿宋" w:eastAsia="仿宋" w:cs="仿宋"/>
          <w:bCs/>
          <w:color w:val="auto"/>
          <w:sz w:val="28"/>
          <w:szCs w:val="28"/>
        </w:rPr>
        <w:t>；需具备安全运维服务经验，自2022年01月起（以签订合同时间为准）承担过至少</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份类似安全运维服务项目业绩</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须提供中标（成交）通知书或合同原件彩色扫描件并加盖响应供应商公章进行佐证</w:t>
      </w:r>
      <w:r>
        <w:rPr>
          <w:rFonts w:hint="eastAsia" w:ascii="仿宋" w:hAnsi="仿宋" w:eastAsia="仿宋" w:cs="仿宋"/>
          <w:color w:val="auto"/>
          <w:kern w:val="0"/>
          <w:sz w:val="28"/>
          <w:szCs w:val="28"/>
        </w:rPr>
        <w:t>。</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（二）所有服务的知识产权问题，由响应供应商自行负责。</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（三）本采购需求提出的是最低限度的要求，响应供应商的方案应达到或优于本要求，且符合国家有关标准和规范要求。</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成交供应商须保证对本项目实施中所获得任何资料和信息严格保密，并与采购人签订保密责任书。成交供应商对相关工作所涉及的国家秘密和商业秘密负有保密责任，对相关工作所产生的信息资料负有保密义务，严禁复制、拍摄、摘抄、泄露、贩卖国家秘密、商业秘密，严禁未经许可披露或私自泄露相关工作所取得的任何资料和谈话内容。如有违反保密要求之行为的，应承担相应法律责任并赔偿由此产生的所有损失。</w:t>
      </w:r>
    </w:p>
    <w:p>
      <w:pPr>
        <w:spacing w:line="360" w:lineRule="auto"/>
        <w:ind w:firstLine="560" w:firstLineChars="200"/>
        <w:jc w:val="left"/>
        <w:rPr>
          <w:rFonts w:ascii="仿宋_GB2312" w:hAnsi="仿宋_GB2312" w:eastAsia="仿宋_GB2312" w:cs="仿宋_GB2312"/>
          <w:b/>
          <w:bCs/>
          <w:sz w:val="32"/>
          <w:szCs w:val="32"/>
        </w:rPr>
      </w:pPr>
      <w:r>
        <w:rPr>
          <w:rFonts w:hint="eastAsia" w:ascii="仿宋" w:hAnsi="仿宋" w:eastAsia="仿宋" w:cs="仿宋"/>
          <w:color w:val="000000"/>
          <w:kern w:val="0"/>
          <w:sz w:val="28"/>
          <w:szCs w:val="28"/>
        </w:rPr>
        <w:t>（五）服务清单</w:t>
      </w:r>
    </w:p>
    <w:tbl>
      <w:tblPr>
        <w:tblStyle w:val="13"/>
        <w:tblW w:w="4996" w:type="pct"/>
        <w:tblInd w:w="0" w:type="dxa"/>
        <w:tblLayout w:type="fixed"/>
        <w:tblCellMar>
          <w:top w:w="0" w:type="dxa"/>
          <w:left w:w="108" w:type="dxa"/>
          <w:bottom w:w="0" w:type="dxa"/>
          <w:right w:w="108" w:type="dxa"/>
        </w:tblCellMar>
      </w:tblPr>
      <w:tblGrid>
        <w:gridCol w:w="417"/>
        <w:gridCol w:w="689"/>
        <w:gridCol w:w="1145"/>
        <w:gridCol w:w="4767"/>
        <w:gridCol w:w="1199"/>
        <w:gridCol w:w="1064"/>
      </w:tblGrid>
      <w:tr>
        <w:tblPrEx>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371"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服务类型</w:t>
            </w:r>
          </w:p>
        </w:tc>
        <w:tc>
          <w:tcPr>
            <w:tcW w:w="617"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服务名称</w:t>
            </w:r>
          </w:p>
        </w:tc>
        <w:tc>
          <w:tcPr>
            <w:tcW w:w="2568"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服务内容</w:t>
            </w:r>
          </w:p>
        </w:tc>
        <w:tc>
          <w:tcPr>
            <w:tcW w:w="646"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运维频率</w:t>
            </w:r>
          </w:p>
        </w:tc>
        <w:tc>
          <w:tcPr>
            <w:tcW w:w="573" w:type="pct"/>
            <w:tcBorders>
              <w:top w:val="single" w:color="000000" w:sz="4" w:space="0"/>
              <w:left w:val="single" w:color="000000" w:sz="4" w:space="0"/>
              <w:bottom w:val="single" w:color="000000" w:sz="4" w:space="0"/>
              <w:right w:val="single" w:color="000000" w:sz="4" w:space="0"/>
            </w:tcBorders>
            <w:shd w:val="clear" w:color="auto" w:fill="DFE0E5"/>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输出物</w:t>
            </w:r>
          </w:p>
        </w:tc>
      </w:tr>
      <w:tr>
        <w:tblPrEx>
          <w:tblCellMar>
            <w:top w:w="0" w:type="dxa"/>
            <w:left w:w="108" w:type="dxa"/>
            <w:bottom w:w="0" w:type="dxa"/>
            <w:right w:w="108" w:type="dxa"/>
          </w:tblCellMar>
        </w:tblPrEx>
        <w:trPr>
          <w:trHeight w:val="196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安全托管服务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安全托管服务</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“安全托管平台”的告警数据支持与云端运营中心联动，云端</w:t>
            </w:r>
            <w:bookmarkStart w:id="1" w:name="_GoBack"/>
            <w:bookmarkEnd w:id="1"/>
            <w:r>
              <w:rPr>
                <w:rFonts w:hint="eastAsia" w:ascii="仿宋" w:hAnsi="仿宋" w:eastAsia="仿宋" w:cs="仿宋"/>
                <w:color w:val="auto"/>
                <w:kern w:val="0"/>
                <w:sz w:val="20"/>
                <w:szCs w:val="20"/>
                <w:lang w:bidi="ar"/>
              </w:rPr>
              <w:t>安全专家提供7*24小时服务。</w:t>
            </w:r>
          </w:p>
          <w:p>
            <w:pPr>
              <w:widowControl/>
              <w:jc w:val="left"/>
              <w:textAlignment w:val="center"/>
              <w:rPr>
                <w:rFonts w:hint="eastAsia" w:ascii="仿宋" w:hAnsi="仿宋" w:eastAsia="仿宋" w:cs="仿宋"/>
                <w:color w:val="FF0000"/>
                <w:kern w:val="0"/>
                <w:sz w:val="20"/>
                <w:szCs w:val="20"/>
                <w:lang w:bidi="ar"/>
              </w:rPr>
            </w:pPr>
            <w:r>
              <w:rPr>
                <w:rFonts w:hint="eastAsia" w:ascii="仿宋" w:hAnsi="仿宋" w:eastAsia="仿宋" w:cs="仿宋"/>
                <w:color w:val="auto"/>
                <w:kern w:val="0"/>
                <w:sz w:val="20"/>
                <w:szCs w:val="20"/>
                <w:lang w:bidi="ar"/>
              </w:rPr>
              <w:t>2、发生相关风险告警，可通过钉钉、微信、短信或电话等形式及时通知用户，并第一时间进行有效的阻断清除，并做好风险总结报告。</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7*24小时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《巡检报告》/月</w:t>
            </w:r>
          </w:p>
        </w:tc>
      </w:tr>
      <w:tr>
        <w:tblPrEx>
          <w:tblCellMar>
            <w:top w:w="0" w:type="dxa"/>
            <w:left w:w="108" w:type="dxa"/>
            <w:bottom w:w="0" w:type="dxa"/>
            <w:right w:w="108" w:type="dxa"/>
          </w:tblCellMar>
        </w:tblPrEx>
        <w:trPr>
          <w:trHeight w:val="1182" w:hRule="atLeast"/>
        </w:trPr>
        <w:tc>
          <w:tcPr>
            <w:tcW w:w="224"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安全梳理</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资产梳理</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主要梳理内容包括物理环境、网络拓扑，网络设备、安全设备、系统服务器、设备接口互联及陈列情况，补齐线路互联标识等。</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每季度</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《资产台账》/季度</w:t>
            </w:r>
          </w:p>
        </w:tc>
      </w:tr>
      <w:tr>
        <w:tblPrEx>
          <w:tblCellMar>
            <w:top w:w="0" w:type="dxa"/>
            <w:left w:w="108" w:type="dxa"/>
            <w:bottom w:w="0" w:type="dxa"/>
            <w:right w:w="108" w:type="dxa"/>
          </w:tblCellMar>
        </w:tblPrEx>
        <w:trPr>
          <w:trHeight w:val="1080" w:hRule="atLeast"/>
        </w:trPr>
        <w:tc>
          <w:tcPr>
            <w:tcW w:w="225" w:type="pct"/>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sz w:val="20"/>
                <w:szCs w:val="20"/>
              </w:rPr>
            </w:pPr>
          </w:p>
        </w:tc>
        <w:tc>
          <w:tcPr>
            <w:tcW w:w="371"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业务梳理</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根据业务流程，主要梳理内容包括安全设备的管理方式，网络及安全设备的策略配置，通过访谈、收集并分析相关设备的配置，梳理业务走向。</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每季度</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080" w:hRule="atLeast"/>
        </w:trPr>
        <w:tc>
          <w:tcPr>
            <w:tcW w:w="225"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0"/>
                <w:szCs w:val="20"/>
              </w:rPr>
            </w:pPr>
          </w:p>
        </w:tc>
        <w:tc>
          <w:tcPr>
            <w:tcW w:w="37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制度梳理</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根据等级保护三级要求，完善各项信息安全管理制度，通过对制度的补充、完善，形成一套可以满足信息安全等级保护三级要求，并且可以实际运用的管理制度文件。</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每年</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《安全管理制度汇编》/年</w:t>
            </w:r>
          </w:p>
        </w:tc>
      </w:tr>
      <w:tr>
        <w:tblPrEx>
          <w:tblCellMar>
            <w:top w:w="0" w:type="dxa"/>
            <w:left w:w="108" w:type="dxa"/>
            <w:bottom w:w="0" w:type="dxa"/>
            <w:right w:w="108" w:type="dxa"/>
          </w:tblCellMar>
        </w:tblPrEx>
        <w:trPr>
          <w:trHeight w:val="1722"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日常运维</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巡检服务</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全面检查，对信息系统所涉及的物理环境、网络和安全设备运行状况、系统服务器和相关安全设施进行全面和严格的专项巡检。包括设备版本与基本配置、设备资源使用状态、接口配置与状态、访问控制策略、告警信息、系统配置策略等关键工作指标进行例行监控。</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《巡检报告》/月</w:t>
            </w:r>
          </w:p>
        </w:tc>
      </w:tr>
      <w:tr>
        <w:tblPrEx>
          <w:tblCellMar>
            <w:top w:w="0" w:type="dxa"/>
            <w:left w:w="108" w:type="dxa"/>
            <w:bottom w:w="0" w:type="dxa"/>
            <w:right w:w="108" w:type="dxa"/>
          </w:tblCellMar>
        </w:tblPrEx>
        <w:trPr>
          <w:trHeight w:val="10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病毒查杀</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通过专业的安全软件或工具来扫描、定位业务系统服务器及客户端中的病毒及恶意软件，提供修复建议，并协助修复。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18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故障处置</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巡检过程中，发现设备故障后，为了确保业务系统的持续运行，依据应急处置流程对故障进行处置。</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按需</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00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安全通告</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定期提供最新病毒的防御方案、最新系统漏洞信息及其修复方法、最新发生的安全事件等内容的安全通告报告。</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24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安全检测</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基线检查</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据既定的检查规范及方法，采用人工检查用表（checklist）、脚本程序或基线扫描工具对评估目标范围内的主机系统安全、数据库安全、中间件安全等进行系统的策略配置、服务配置、保护措施以及系统和软件升级、更新情况，是否存在后门等内容进行检查，识别潜在的风险，提供修复建议，并协助进行漏洞修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《巡检报告》/月</w:t>
            </w:r>
          </w:p>
        </w:tc>
      </w:tr>
      <w:tr>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漏洞扫描</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采用行业认可、安全合规的漏洞扫描系统，通过定制的扫描规则，形成安全扫描策略文档，对服务器、网络设备、安全设备等进行自动化安全扫描，输出安全扫描报告提供修复建议，并协助进行漏洞修复。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33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WebShell扫描</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通过web后门检查工具，针对网站或应用系统服务器所有文件进行安全扫描，发现系统文件中潜在的webshell、网页后门等恶意文件，提供修复建议，并协助进行漏洞修复。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242"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漏洞加固指导服务</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基于攻防视角评估资产漏洞风险，识别可实际产生风险的漏洞，提供漏洞修复的优先级建议，可大幅减少漏洞整改工作量。</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3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漏洞无效化服务</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对于无法整改的漏洞，提供漏洞无效化技术手段：可使扫描器扫得到资产，但无法扫描到漏洞。</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235"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优化加固</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网络安全优化加固</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优化加固是指采取一系列措施来增强网络环境的安全性，以抵御各种潜在的威胁和攻击。主要针对网络设备、安全设备、服务器、应用系统以及网络结构的口令策略、账户权限、网络服务、访问控制、用户鉴别等加固项进行加固，包括关闭非必要的服务和端口、设置强密码策略、合理配置硬件设备的访问控制列表、分析网络架构和拓扑，评估网络的安全性和可扩展性等，通过该服务制定详细的安全策略和实施规范，减少网络环境中潜在的安全风险和攻击威胁。</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每月</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《巡检报告》/月</w:t>
            </w:r>
          </w:p>
        </w:tc>
      </w:tr>
      <w:tr>
        <w:tblPrEx>
          <w:tblCellMar>
            <w:top w:w="0" w:type="dxa"/>
            <w:left w:w="108" w:type="dxa"/>
            <w:bottom w:w="0" w:type="dxa"/>
            <w:right w:w="108" w:type="dxa"/>
          </w:tblCellMar>
        </w:tblPrEx>
        <w:trPr>
          <w:trHeight w:val="16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网络安全应急演练</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模拟演练</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针对应急预案中全部或大部分应急响应功能，搭建模拟测试环境，演练过程采取交互方式进行，要求尽量真实，以测试应急响应的功能。例如，指挥和控制功能的演练，检测、评价多个部门在紧急状态下实现集权式的运行和响应处置能力等。</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一年1次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《网络安全应急演练工作方案》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《网络安全应急演练总结报告》</w:t>
            </w:r>
          </w:p>
        </w:tc>
      </w:tr>
      <w:tr>
        <w:tblPrEx>
          <w:tblCellMar>
            <w:top w:w="0" w:type="dxa"/>
            <w:left w:w="108" w:type="dxa"/>
            <w:bottom w:w="0" w:type="dxa"/>
            <w:right w:w="108" w:type="dxa"/>
          </w:tblCellMar>
        </w:tblPrEx>
        <w:trPr>
          <w:trHeight w:val="1134"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渗透测试</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渗透测试</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模拟黑客使用的工具、分析方法对网站、业务系统、应用系统等进行安全测试，并结合智能工具扫描结果，由高级工程师进行深入的手工测试和分析，识别工具弱点扫描无法发现的问题。主要分析内容包括WebShell、注入、逻辑缺陷、上传绕过、输入输出校验绕过、数据篡改、功能绕过、异常错误以及其他专项内容。通过模拟真实的攻击场景，识别潜在的安全风险，提供修复建议，并协助进行漏洞修复。提高网站及业务系统的安全性。</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一年1次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《渗透测试报告》</w:t>
            </w:r>
          </w:p>
        </w:tc>
      </w:tr>
      <w:tr>
        <w:tblPrEx>
          <w:tblCellMar>
            <w:top w:w="0" w:type="dxa"/>
            <w:left w:w="108" w:type="dxa"/>
            <w:bottom w:w="0" w:type="dxa"/>
            <w:right w:w="108" w:type="dxa"/>
          </w:tblCellMar>
        </w:tblPrEx>
        <w:trPr>
          <w:trHeight w:val="432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风险评估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信息系统技术评估</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信息系统安全风险评估从风险管理角度，运用科学的方法和手段分析信息系统所面临的威胁及其存在的脆弱性，评估安全事件一旦发生可能造成的危害程度，提出有针对性的抵御威胁的防护对策和整改措施，防范和降低信息安全风险，使风险控制在能接受的范围内。主要包含信息系统资产，弱点/脆弱性、威胁和风险四个要素。包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1.对信息系统资产进行识别，并对资产的价值进行赋值；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2.对脆弱性进行识别，并对具体资产的脆弱性的严重程度赋值；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3.对威胁进行识别，描述威胁的属性，并对威胁出现的频率赋值；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4.根据威胁及威胁利用脆弱性的难易程度判断安全事件发生的可能性；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5.根据脆弱性的严重程度及安全事件所作用的资产的价值计算安全事件造成的损失；</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3个系统</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《风险评估报告》</w:t>
            </w:r>
          </w:p>
        </w:tc>
      </w:tr>
      <w:tr>
        <w:tblPrEx>
          <w:tblCellMar>
            <w:top w:w="0" w:type="dxa"/>
            <w:left w:w="108" w:type="dxa"/>
            <w:bottom w:w="0" w:type="dxa"/>
            <w:right w:w="108" w:type="dxa"/>
          </w:tblCellMar>
        </w:tblPrEx>
        <w:trPr>
          <w:trHeight w:val="138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安全管理评估</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从以下几方面分析被评估信息系统安全管理状况：管理机构、管理制度、人员管理、系统建设管理和系统运维管理，为后续脆弱性分析及综合风险分析提供参考数据。安全管理评估可采用问询、调查问卷和现场观察等方式进行。</w:t>
            </w: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139"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网络安保服务</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重保服务</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针对国家规定的法定节假日、重大会议、政治活动等其它具有广泛影响的活动，派遣高级安服人员，以现场或远程值守的方式提供网络安全保障服务，协助处理信息安全事件。包括前期重要业务的检查、安全扫描、网络安全加固等准备工作，确保在重要敏感时期的网络安全。</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按需</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《重保安全服务实施方案》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《重保安全服务实施报告》</w:t>
            </w:r>
          </w:p>
        </w:tc>
      </w:tr>
      <w:tr>
        <w:tblPrEx>
          <w:tblCellMar>
            <w:top w:w="0" w:type="dxa"/>
            <w:left w:w="108" w:type="dxa"/>
            <w:bottom w:w="0" w:type="dxa"/>
            <w:right w:w="108" w:type="dxa"/>
          </w:tblCellMar>
        </w:tblPrEx>
        <w:trPr>
          <w:trHeight w:val="1399"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应急响应</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应急预案</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据信息系统及其承载业务信息的重要性，以及业务特点，结合国家、地区和行业等信息安全政策和标准，协助用户制定应急预案，明确应急响应以及预防、预警机制，针对可能的安全事件编制规范的应急处理流程。</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一年1次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《网络安全应急预案》</w:t>
            </w:r>
          </w:p>
        </w:tc>
      </w:tr>
      <w:tr>
        <w:tblPrEx>
          <w:tblCellMar>
            <w:top w:w="0" w:type="dxa"/>
            <w:left w:w="108" w:type="dxa"/>
            <w:bottom w:w="0" w:type="dxa"/>
            <w:right w:w="108" w:type="dxa"/>
          </w:tblCellMar>
        </w:tblPrEx>
        <w:trPr>
          <w:trHeight w:val="343"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应急响应</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0"/>
                <w:szCs w:val="20"/>
                <w:lang w:bidi="ar"/>
              </w:rPr>
            </w:pPr>
            <w:r>
              <w:rPr>
                <w:rFonts w:hint="eastAsia" w:ascii="仿宋" w:hAnsi="仿宋" w:eastAsia="仿宋" w:cs="仿宋"/>
                <w:kern w:val="0"/>
                <w:sz w:val="20"/>
                <w:szCs w:val="20"/>
                <w:lang w:bidi="ar"/>
              </w:rPr>
              <w:t>10人以上应急保障团队，提供7*24小时响应服务，普通问题需2小时内解决，如需现场服务需</w:t>
            </w:r>
            <w:r>
              <w:rPr>
                <w:rFonts w:ascii="仿宋" w:hAnsi="仿宋" w:eastAsia="仿宋" w:cs="仿宋"/>
                <w:kern w:val="0"/>
                <w:sz w:val="20"/>
                <w:szCs w:val="20"/>
                <w:lang w:bidi="ar"/>
              </w:rPr>
              <w:t>0.5</w:t>
            </w:r>
            <w:r>
              <w:rPr>
                <w:rFonts w:hint="eastAsia" w:ascii="仿宋" w:hAnsi="仿宋" w:eastAsia="仿宋" w:cs="仿宋"/>
                <w:kern w:val="0"/>
                <w:sz w:val="20"/>
                <w:szCs w:val="20"/>
                <w:lang w:bidi="ar"/>
              </w:rPr>
              <w:t>小时内派出专业应急响应工程师到现场，主要包括（不限）以下情况的应急响应：</w:t>
            </w:r>
            <w:r>
              <w:rPr>
                <w:rFonts w:hint="eastAsia" w:ascii="仿宋" w:hAnsi="仿宋" w:eastAsia="仿宋" w:cs="仿宋"/>
                <w:kern w:val="0"/>
                <w:sz w:val="20"/>
                <w:szCs w:val="20"/>
                <w:lang w:bidi="ar"/>
              </w:rPr>
              <w:br w:type="textWrapping"/>
            </w:r>
            <w:r>
              <w:rPr>
                <w:rFonts w:hint="eastAsia" w:ascii="仿宋" w:hAnsi="仿宋" w:eastAsia="仿宋" w:cs="仿宋"/>
                <w:kern w:val="0"/>
                <w:sz w:val="20"/>
                <w:szCs w:val="20"/>
                <w:lang w:bidi="ar"/>
              </w:rPr>
              <w:t>1、网络、安全、系统、服务器及涉及到的物理环境、消防、精密空调、UPS等所有设备设施软硬件的故障处理及维护调试。</w:t>
            </w:r>
            <w:r>
              <w:rPr>
                <w:rFonts w:hint="eastAsia" w:ascii="仿宋" w:hAnsi="仿宋" w:eastAsia="仿宋" w:cs="仿宋"/>
                <w:color w:val="FF0000"/>
                <w:kern w:val="0"/>
                <w:sz w:val="20"/>
                <w:szCs w:val="20"/>
                <w:lang w:bidi="ar"/>
              </w:rPr>
              <w:br w:type="textWrapping"/>
            </w:r>
            <w:r>
              <w:rPr>
                <w:rFonts w:hint="eastAsia" w:ascii="仿宋" w:hAnsi="仿宋" w:eastAsia="仿宋" w:cs="仿宋"/>
                <w:color w:val="000000"/>
                <w:kern w:val="0"/>
                <w:sz w:val="20"/>
                <w:szCs w:val="20"/>
                <w:lang w:bidi="ar"/>
              </w:rPr>
              <w:t>2、勒索病毒事件应急响应：对染毒主机进行排查，对当前环境进行风险排除与主机加固，处置取证后提供专业完整的应急响应报告，协助解决因勒索病毒所造成的的重要业务瘫痪、重要数据被加密等情况，减少因勒索病毒所造成的巨大经济损失。</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数据泄露事件应急响应：对数据库操作和查询日志、服务器进程、服务器和网络日志、可疑文件等进行排查，并作应急处置，处置完成后对存在问题的系统或数据库提出点对点的整改加固方案，防止数据二次泄露。</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Web安全事件应急响应：对受影响系统进行全面威胁排查，Web漏洞特征分析，包括Sql注入特征、文件上传特征、命令执行特征、Windows/linux恶意命令攻击特征、框架漏洞特征、中间件特征等，协助修复漏洞以防同类安全事件再次发生，尽快使网站系统恢复正常运行，减少因安全事件造成的经济损失。</w:t>
            </w:r>
          </w:p>
        </w:tc>
        <w:tc>
          <w:tcPr>
            <w:tcW w:w="6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按需</w:t>
            </w:r>
          </w:p>
        </w:tc>
        <w:tc>
          <w:tcPr>
            <w:tcW w:w="5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《网络安全事件应急处置报告》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《网络维护报告》/每月</w:t>
            </w:r>
          </w:p>
        </w:tc>
      </w:tr>
      <w:tr>
        <w:tblPrEx>
          <w:tblCellMar>
            <w:top w:w="0" w:type="dxa"/>
            <w:left w:w="108" w:type="dxa"/>
            <w:bottom w:w="0" w:type="dxa"/>
            <w:right w:w="108" w:type="dxa"/>
          </w:tblCellMar>
        </w:tblPrEx>
        <w:trPr>
          <w:trHeight w:val="18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安全培训</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安全意识培训</w:t>
            </w:r>
          </w:p>
        </w:tc>
        <w:tc>
          <w:tcPr>
            <w:tcW w:w="2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面向单位全员开展专业的网络与信息安全意识培训，提高受众个人隐私保护、常规攻击防护、信息安全管理等能力，增强个人网络安全防护意识，规避网络攻击风险。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一年1次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《安全意识培训PPT》</w:t>
            </w:r>
          </w:p>
        </w:tc>
      </w:tr>
    </w:tbl>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360" w:lineRule="auto"/>
        <w:ind w:firstLine="560" w:firstLineChars="200"/>
        <w:jc w:val="left"/>
        <w:rPr>
          <w:rFonts w:ascii="宋体" w:hAnsi="宋体" w:eastAsia="宋体" w:cs="宋体"/>
          <w:b/>
          <w:bCs/>
          <w:sz w:val="30"/>
          <w:szCs w:val="30"/>
          <w:lang w:bidi="zh-TW"/>
        </w:rPr>
      </w:pPr>
      <w:r>
        <w:rPr>
          <w:rFonts w:hint="eastAsia" w:ascii="仿宋" w:hAnsi="仿宋" w:eastAsia="仿宋" w:cs="仿宋"/>
          <w:kern w:val="0"/>
          <w:sz w:val="28"/>
          <w:szCs w:val="28"/>
        </w:rPr>
        <w:t>（六）项目服务考核要求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51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b/>
                <w:color w:val="auto"/>
                <w:sz w:val="20"/>
                <w:szCs w:val="20"/>
              </w:rPr>
            </w:pPr>
            <w:r>
              <w:rPr>
                <w:rFonts w:hint="eastAsia" w:ascii="仿宋" w:hAnsi="仿宋" w:eastAsia="仿宋" w:cs="仿宋"/>
                <w:b/>
                <w:color w:val="auto"/>
                <w:sz w:val="20"/>
                <w:szCs w:val="20"/>
                <w:lang w:eastAsia="zh-CN"/>
              </w:rPr>
              <w:t>序号</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b/>
                <w:color w:val="auto"/>
                <w:sz w:val="20"/>
                <w:szCs w:val="20"/>
              </w:rPr>
            </w:pPr>
            <w:r>
              <w:rPr>
                <w:rFonts w:hint="eastAsia" w:ascii="仿宋" w:hAnsi="仿宋" w:eastAsia="仿宋" w:cs="仿宋"/>
                <w:b/>
                <w:color w:val="auto"/>
                <w:sz w:val="20"/>
                <w:szCs w:val="20"/>
              </w:rPr>
              <w:t>考核内容</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b/>
                <w:color w:val="auto"/>
                <w:sz w:val="20"/>
                <w:szCs w:val="20"/>
              </w:rPr>
            </w:pPr>
            <w:r>
              <w:rPr>
                <w:rFonts w:hint="eastAsia" w:ascii="仿宋" w:hAnsi="仿宋" w:eastAsia="仿宋" w:cs="仿宋"/>
                <w:b/>
                <w:color w:val="auto"/>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1</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关键业务系统发生网络安全事件，造成不良影响，出现一次扣10分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2</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关键业务系统发生网络安全事件，被上级监管部门通报，出现一次扣20分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3</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因技术服务人员不具备相应的工作能力，导致网络安全问题而影响业务的，出现一次扣5分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4</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未按操作规范及时提供相应交付文档或者提供的交付文档不满足考核单位、上级部门要求的，出现一次扣5分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5</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因技术服务人员工作态度不端正，被考核单位投诉的，出现一次扣5分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6</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未按要求安排专业人员现场保障，出现一次扣5分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7</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未按计划积极开展各项工作，出现一次扣5分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8</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发生安全事件未按时到现场处理，出现一次扣5分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9</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bidi="ar-SA"/>
              </w:rPr>
            </w:pPr>
            <w:r>
              <w:rPr>
                <w:rFonts w:hint="eastAsia" w:ascii="仿宋" w:hAnsi="仿宋" w:eastAsia="仿宋" w:cs="仿宋"/>
                <w:color w:val="auto"/>
                <w:sz w:val="20"/>
                <w:szCs w:val="20"/>
                <w:lang w:eastAsia="zh-CN"/>
              </w:rPr>
              <w:t>未按合同约定履行服务内容，出现一次扣5分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bidi="ar-SA"/>
              </w:rPr>
            </w:pPr>
            <w:r>
              <w:rPr>
                <w:rFonts w:ascii="仿宋" w:hAnsi="仿宋" w:eastAsia="仿宋" w:cs="仿宋"/>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0"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1</w:t>
            </w:r>
            <w:r>
              <w:rPr>
                <w:rFonts w:ascii="仿宋" w:hAnsi="仿宋" w:eastAsia="仿宋" w:cs="仿宋"/>
                <w:color w:val="auto"/>
                <w:sz w:val="20"/>
                <w:szCs w:val="20"/>
                <w:lang w:eastAsia="zh-CN"/>
              </w:rPr>
              <w:t>0</w:t>
            </w:r>
          </w:p>
        </w:tc>
        <w:tc>
          <w:tcPr>
            <w:tcW w:w="4044"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响应时间，年度内未按甲方服务要求在规定时间内及时响应，出现一次扣</w:t>
            </w:r>
            <w:r>
              <w:rPr>
                <w:rFonts w:ascii="仿宋" w:hAnsi="仿宋" w:eastAsia="仿宋" w:cs="仿宋"/>
                <w:color w:val="auto"/>
                <w:sz w:val="20"/>
                <w:szCs w:val="20"/>
                <w:lang w:eastAsia="zh-CN"/>
              </w:rPr>
              <w:t>5</w:t>
            </w:r>
            <w:r>
              <w:rPr>
                <w:rFonts w:hint="eastAsia" w:ascii="仿宋" w:hAnsi="仿宋" w:eastAsia="仿宋" w:cs="仿宋"/>
                <w:color w:val="auto"/>
                <w:sz w:val="20"/>
                <w:szCs w:val="20"/>
                <w:lang w:eastAsia="zh-CN"/>
              </w:rPr>
              <w:t>分</w:t>
            </w:r>
          </w:p>
        </w:tc>
        <w:tc>
          <w:tcPr>
            <w:tcW w:w="516" w:type="pct"/>
            <w:vAlign w:val="center"/>
          </w:tcPr>
          <w:p>
            <w:pPr>
              <w:pStyle w:val="11"/>
              <w:autoSpaceDE w:val="0"/>
              <w:autoSpaceDN w:val="0"/>
              <w:spacing w:before="0" w:beforeAutospacing="0" w:after="0" w:afterAutospacing="0" w:line="360" w:lineRule="auto"/>
              <w:jc w:val="center"/>
              <w:rPr>
                <w:rFonts w:ascii="仿宋" w:hAnsi="仿宋" w:eastAsia="仿宋" w:cs="仿宋"/>
                <w:color w:val="auto"/>
                <w:sz w:val="20"/>
                <w:szCs w:val="20"/>
              </w:rPr>
            </w:pPr>
            <w:r>
              <w:rPr>
                <w:rFonts w:ascii="仿宋" w:hAnsi="仿宋" w:eastAsia="仿宋" w:cs="仿宋"/>
                <w:color w:val="auto"/>
                <w:sz w:val="20"/>
                <w:szCs w:val="20"/>
                <w:lang w:eastAsia="zh-CN"/>
              </w:rPr>
              <w:t>5</w:t>
            </w:r>
          </w:p>
        </w:tc>
      </w:tr>
    </w:tbl>
    <w:p>
      <w:pPr>
        <w:pStyle w:val="23"/>
        <w:spacing w:line="360" w:lineRule="auto"/>
        <w:ind w:firstLine="560" w:firstLineChars="200"/>
        <w:jc w:val="both"/>
        <w:rPr>
          <w:rFonts w:ascii="仿宋" w:hAnsi="仿宋" w:eastAsia="仿宋" w:cs="仿宋"/>
          <w:color w:val="auto"/>
          <w:sz w:val="28"/>
          <w:szCs w:val="28"/>
          <w:lang w:val="en-US" w:eastAsia="zh-CN" w:bidi="en-US"/>
        </w:rPr>
      </w:pPr>
      <w:r>
        <w:rPr>
          <w:rFonts w:ascii="仿宋" w:hAnsi="仿宋" w:eastAsia="仿宋" w:cs="仿宋"/>
          <w:color w:val="auto"/>
          <w:sz w:val="28"/>
          <w:szCs w:val="28"/>
          <w:lang w:val="en-US" w:eastAsia="zh-CN" w:bidi="en-US"/>
        </w:rPr>
        <w:t>注:1、每</w:t>
      </w:r>
      <w:r>
        <w:rPr>
          <w:rFonts w:hint="eastAsia" w:ascii="仿宋" w:hAnsi="仿宋" w:eastAsia="仿宋" w:cs="仿宋"/>
          <w:color w:val="auto"/>
          <w:sz w:val="28"/>
          <w:szCs w:val="28"/>
          <w:lang w:val="en-US" w:eastAsia="zh-CN" w:bidi="en-US"/>
        </w:rPr>
        <w:t>扣</w:t>
      </w:r>
      <w:r>
        <w:rPr>
          <w:rFonts w:ascii="仿宋" w:hAnsi="仿宋" w:eastAsia="仿宋" w:cs="仿宋"/>
          <w:color w:val="auto"/>
          <w:sz w:val="28"/>
          <w:szCs w:val="28"/>
          <w:lang w:val="en-US" w:eastAsia="zh-CN" w:bidi="en-US"/>
        </w:rPr>
        <w:t>1分扣500元，扣分</w:t>
      </w:r>
      <w:r>
        <w:rPr>
          <w:rFonts w:hint="eastAsia" w:ascii="仿宋" w:hAnsi="仿宋" w:eastAsia="仿宋" w:cs="仿宋"/>
          <w:color w:val="auto"/>
          <w:sz w:val="28"/>
          <w:szCs w:val="28"/>
          <w:lang w:val="en-US" w:eastAsia="zh-CN" w:bidi="en-US"/>
        </w:rPr>
        <w:t>上</w:t>
      </w:r>
      <w:r>
        <w:rPr>
          <w:rFonts w:ascii="仿宋" w:hAnsi="仿宋" w:eastAsia="仿宋" w:cs="仿宋"/>
          <w:color w:val="auto"/>
          <w:sz w:val="28"/>
          <w:szCs w:val="28"/>
          <w:lang w:val="en-US" w:eastAsia="zh-CN" w:bidi="en-US"/>
        </w:rPr>
        <w:t>不封顶。</w:t>
      </w:r>
    </w:p>
    <w:p>
      <w:pPr>
        <w:pStyle w:val="23"/>
        <w:spacing w:line="360" w:lineRule="auto"/>
        <w:ind w:left="420" w:firstLine="560" w:firstLineChars="200"/>
        <w:jc w:val="both"/>
        <w:rPr>
          <w:rFonts w:ascii="仿宋" w:hAnsi="仿宋" w:eastAsia="仿宋" w:cs="仿宋"/>
          <w:color w:val="auto"/>
          <w:sz w:val="28"/>
          <w:szCs w:val="28"/>
          <w:lang w:val="en-US" w:eastAsia="zh-CN" w:bidi="en-US"/>
        </w:rPr>
      </w:pPr>
      <w:r>
        <w:rPr>
          <w:rFonts w:ascii="仿宋" w:hAnsi="仿宋" w:eastAsia="仿宋" w:cs="仿宋"/>
          <w:color w:val="auto"/>
          <w:sz w:val="28"/>
          <w:szCs w:val="28"/>
          <w:lang w:val="en-US" w:eastAsia="zh-CN" w:bidi="en-US"/>
        </w:rPr>
        <w:t>2、采购人对中标人的服务情况</w:t>
      </w:r>
      <w:r>
        <w:rPr>
          <w:rFonts w:hint="eastAsia" w:ascii="仿宋" w:hAnsi="仿宋" w:eastAsia="仿宋" w:cs="仿宋"/>
          <w:color w:val="auto"/>
          <w:sz w:val="28"/>
          <w:szCs w:val="28"/>
          <w:lang w:val="en-US" w:eastAsia="zh-CN" w:bidi="en-US"/>
        </w:rPr>
        <w:t>定期</w:t>
      </w:r>
      <w:r>
        <w:rPr>
          <w:rFonts w:ascii="仿宋" w:hAnsi="仿宋" w:eastAsia="仿宋" w:cs="仿宋"/>
          <w:color w:val="auto"/>
          <w:sz w:val="28"/>
          <w:szCs w:val="28"/>
          <w:lang w:val="en-US" w:eastAsia="zh-CN" w:bidi="en-US"/>
        </w:rPr>
        <w:t>进行考核。考核后采购人将考核结果告知中标人，中标人应在收到考核结果五个工作日内进行确认，超时未确认且未提出异议的视同中标人同意考核结果。</w:t>
      </w:r>
    </w:p>
    <w:p>
      <w:pPr>
        <w:spacing w:line="480" w:lineRule="exact"/>
        <w:ind w:firstLine="560" w:firstLineChars="200"/>
        <w:rPr>
          <w:rFonts w:ascii="仿宋" w:hAnsi="仿宋" w:eastAsia="仿宋" w:cs="仿宋"/>
          <w:bCs/>
          <w:sz w:val="28"/>
          <w:szCs w:val="28"/>
        </w:rPr>
      </w:pPr>
      <w:r>
        <w:rPr>
          <w:rFonts w:hint="eastAsia" w:ascii="仿宋" w:hAnsi="仿宋" w:eastAsia="仿宋" w:cs="仿宋"/>
          <w:kern w:val="0"/>
          <w:sz w:val="28"/>
          <w:szCs w:val="28"/>
        </w:rPr>
        <w:t>（七）项目</w:t>
      </w:r>
      <w:r>
        <w:rPr>
          <w:rFonts w:hint="eastAsia" w:ascii="仿宋" w:hAnsi="仿宋" w:eastAsia="仿宋" w:cs="仿宋"/>
          <w:bCs/>
          <w:sz w:val="28"/>
          <w:szCs w:val="28"/>
        </w:rPr>
        <w:t>服务期限：合同签订后三年。</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159E"/>
    <w:multiLevelType w:val="singleLevel"/>
    <w:tmpl w:val="B906159E"/>
    <w:lvl w:ilvl="0" w:tentative="0">
      <w:start w:val="1"/>
      <w:numFmt w:val="decimal"/>
      <w:suff w:val="nothing"/>
      <w:lvlText w:val="%1、"/>
      <w:lvlJc w:val="left"/>
    </w:lvl>
  </w:abstractNum>
  <w:abstractNum w:abstractNumId="1">
    <w:nsid w:val="F6E4B7EC"/>
    <w:multiLevelType w:val="singleLevel"/>
    <w:tmpl w:val="F6E4B7E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WMwMDMxYjhjNjI3YzUxODZiZDg4MmUzMTNiYjAifQ=="/>
  </w:docVars>
  <w:rsids>
    <w:rsidRoot w:val="FEE38647"/>
    <w:rsid w:val="00035B9C"/>
    <w:rsid w:val="00061B6D"/>
    <w:rsid w:val="0009303F"/>
    <w:rsid w:val="00094541"/>
    <w:rsid w:val="0009457F"/>
    <w:rsid w:val="000A0217"/>
    <w:rsid w:val="000A2619"/>
    <w:rsid w:val="001303A0"/>
    <w:rsid w:val="00157565"/>
    <w:rsid w:val="00192632"/>
    <w:rsid w:val="001A0486"/>
    <w:rsid w:val="0021794F"/>
    <w:rsid w:val="00235626"/>
    <w:rsid w:val="00254FBA"/>
    <w:rsid w:val="00280B83"/>
    <w:rsid w:val="00287E0B"/>
    <w:rsid w:val="002922C2"/>
    <w:rsid w:val="00292DAD"/>
    <w:rsid w:val="00296A0F"/>
    <w:rsid w:val="002C138E"/>
    <w:rsid w:val="00317722"/>
    <w:rsid w:val="00324379"/>
    <w:rsid w:val="003B29C0"/>
    <w:rsid w:val="003B444F"/>
    <w:rsid w:val="003F7C97"/>
    <w:rsid w:val="00412A9A"/>
    <w:rsid w:val="0041358E"/>
    <w:rsid w:val="004A27BA"/>
    <w:rsid w:val="004C7DF1"/>
    <w:rsid w:val="004D6B17"/>
    <w:rsid w:val="00505183"/>
    <w:rsid w:val="00521340"/>
    <w:rsid w:val="00543609"/>
    <w:rsid w:val="005535F9"/>
    <w:rsid w:val="0058582F"/>
    <w:rsid w:val="005F0E5C"/>
    <w:rsid w:val="005F5A71"/>
    <w:rsid w:val="006535A4"/>
    <w:rsid w:val="006544CC"/>
    <w:rsid w:val="006604DC"/>
    <w:rsid w:val="00683D6B"/>
    <w:rsid w:val="00686840"/>
    <w:rsid w:val="00691A10"/>
    <w:rsid w:val="006E398A"/>
    <w:rsid w:val="00716FA7"/>
    <w:rsid w:val="00747EDB"/>
    <w:rsid w:val="007569A5"/>
    <w:rsid w:val="007C110A"/>
    <w:rsid w:val="007E3549"/>
    <w:rsid w:val="00813414"/>
    <w:rsid w:val="00814982"/>
    <w:rsid w:val="008212BC"/>
    <w:rsid w:val="00832A57"/>
    <w:rsid w:val="00890800"/>
    <w:rsid w:val="00894DBA"/>
    <w:rsid w:val="00895CDA"/>
    <w:rsid w:val="008B5FB5"/>
    <w:rsid w:val="00900A24"/>
    <w:rsid w:val="0091744F"/>
    <w:rsid w:val="00926FA2"/>
    <w:rsid w:val="00967865"/>
    <w:rsid w:val="00A010BF"/>
    <w:rsid w:val="00A0323E"/>
    <w:rsid w:val="00A10CC4"/>
    <w:rsid w:val="00A40D10"/>
    <w:rsid w:val="00A425B4"/>
    <w:rsid w:val="00A738AC"/>
    <w:rsid w:val="00A75668"/>
    <w:rsid w:val="00A938D5"/>
    <w:rsid w:val="00AB2B91"/>
    <w:rsid w:val="00AE3D01"/>
    <w:rsid w:val="00AE7048"/>
    <w:rsid w:val="00AF274D"/>
    <w:rsid w:val="00B04EEE"/>
    <w:rsid w:val="00B57C25"/>
    <w:rsid w:val="00BD1CB8"/>
    <w:rsid w:val="00BD25B9"/>
    <w:rsid w:val="00BD7B87"/>
    <w:rsid w:val="00BF563D"/>
    <w:rsid w:val="00C13E22"/>
    <w:rsid w:val="00C22CA2"/>
    <w:rsid w:val="00C5775E"/>
    <w:rsid w:val="00CC7137"/>
    <w:rsid w:val="00D04A5B"/>
    <w:rsid w:val="00D50DBD"/>
    <w:rsid w:val="00D527C2"/>
    <w:rsid w:val="00D613AE"/>
    <w:rsid w:val="00D70860"/>
    <w:rsid w:val="00D806B1"/>
    <w:rsid w:val="00E63DCE"/>
    <w:rsid w:val="00E80634"/>
    <w:rsid w:val="00E832AC"/>
    <w:rsid w:val="00F43797"/>
    <w:rsid w:val="00F77949"/>
    <w:rsid w:val="00F80D91"/>
    <w:rsid w:val="00F83694"/>
    <w:rsid w:val="00F900D8"/>
    <w:rsid w:val="00FE1359"/>
    <w:rsid w:val="00FF2BEA"/>
    <w:rsid w:val="00FF379B"/>
    <w:rsid w:val="021533E7"/>
    <w:rsid w:val="02697954"/>
    <w:rsid w:val="029A22D5"/>
    <w:rsid w:val="02A00A72"/>
    <w:rsid w:val="02E269AB"/>
    <w:rsid w:val="03243840"/>
    <w:rsid w:val="03402295"/>
    <w:rsid w:val="04B20C32"/>
    <w:rsid w:val="05E74E14"/>
    <w:rsid w:val="06552CC7"/>
    <w:rsid w:val="071973E6"/>
    <w:rsid w:val="07AB012E"/>
    <w:rsid w:val="07DD07C1"/>
    <w:rsid w:val="08A34DB8"/>
    <w:rsid w:val="08FF1C22"/>
    <w:rsid w:val="0991353D"/>
    <w:rsid w:val="0B5331D2"/>
    <w:rsid w:val="0BC42A68"/>
    <w:rsid w:val="0C9E047D"/>
    <w:rsid w:val="0D441E2F"/>
    <w:rsid w:val="0E9B1118"/>
    <w:rsid w:val="0FB3423F"/>
    <w:rsid w:val="11FB7BA1"/>
    <w:rsid w:val="1275603D"/>
    <w:rsid w:val="138E0158"/>
    <w:rsid w:val="13D44784"/>
    <w:rsid w:val="14794F90"/>
    <w:rsid w:val="14B531C8"/>
    <w:rsid w:val="16376D26"/>
    <w:rsid w:val="16B03286"/>
    <w:rsid w:val="19157485"/>
    <w:rsid w:val="1A637A45"/>
    <w:rsid w:val="1A94296D"/>
    <w:rsid w:val="1BEA685E"/>
    <w:rsid w:val="1C97526D"/>
    <w:rsid w:val="1D5A6237"/>
    <w:rsid w:val="1DF758D1"/>
    <w:rsid w:val="1EEA76FA"/>
    <w:rsid w:val="1F140253"/>
    <w:rsid w:val="1FD73337"/>
    <w:rsid w:val="20D425A5"/>
    <w:rsid w:val="22C7398D"/>
    <w:rsid w:val="236543D4"/>
    <w:rsid w:val="253C4239"/>
    <w:rsid w:val="26B41D21"/>
    <w:rsid w:val="27500A8C"/>
    <w:rsid w:val="28AF34F5"/>
    <w:rsid w:val="2908648D"/>
    <w:rsid w:val="2A044305"/>
    <w:rsid w:val="2B1A62A5"/>
    <w:rsid w:val="2C221238"/>
    <w:rsid w:val="2C584F53"/>
    <w:rsid w:val="2D404F0C"/>
    <w:rsid w:val="2F8679E0"/>
    <w:rsid w:val="2F8D7640"/>
    <w:rsid w:val="30C60D99"/>
    <w:rsid w:val="312468F3"/>
    <w:rsid w:val="315C727B"/>
    <w:rsid w:val="319950ED"/>
    <w:rsid w:val="31CF4AB1"/>
    <w:rsid w:val="32EF2E0A"/>
    <w:rsid w:val="33701712"/>
    <w:rsid w:val="33DF717A"/>
    <w:rsid w:val="34680C9E"/>
    <w:rsid w:val="348C0A37"/>
    <w:rsid w:val="359E6EE0"/>
    <w:rsid w:val="35D05C27"/>
    <w:rsid w:val="36414C8A"/>
    <w:rsid w:val="36575075"/>
    <w:rsid w:val="367652AD"/>
    <w:rsid w:val="36EE3C2B"/>
    <w:rsid w:val="389E1575"/>
    <w:rsid w:val="39A74D48"/>
    <w:rsid w:val="39C11183"/>
    <w:rsid w:val="3A373EB7"/>
    <w:rsid w:val="3A962ABD"/>
    <w:rsid w:val="3C122955"/>
    <w:rsid w:val="3C222894"/>
    <w:rsid w:val="3C2A0F23"/>
    <w:rsid w:val="3C8D005F"/>
    <w:rsid w:val="3EAA6E99"/>
    <w:rsid w:val="3EF942A0"/>
    <w:rsid w:val="3F0727AE"/>
    <w:rsid w:val="3F847EAD"/>
    <w:rsid w:val="40432779"/>
    <w:rsid w:val="411F4E11"/>
    <w:rsid w:val="418C5B89"/>
    <w:rsid w:val="420C4AC6"/>
    <w:rsid w:val="4260101E"/>
    <w:rsid w:val="43806DEE"/>
    <w:rsid w:val="439F42C5"/>
    <w:rsid w:val="43FE3539"/>
    <w:rsid w:val="467D65BF"/>
    <w:rsid w:val="46D21304"/>
    <w:rsid w:val="47156257"/>
    <w:rsid w:val="474039AC"/>
    <w:rsid w:val="478355AA"/>
    <w:rsid w:val="488B6BC1"/>
    <w:rsid w:val="48E83619"/>
    <w:rsid w:val="48F147AC"/>
    <w:rsid w:val="4B232DA2"/>
    <w:rsid w:val="4B49105B"/>
    <w:rsid w:val="4B9C5B67"/>
    <w:rsid w:val="4BEE22C7"/>
    <w:rsid w:val="4C5E2F58"/>
    <w:rsid w:val="4D2372C5"/>
    <w:rsid w:val="4DC1026C"/>
    <w:rsid w:val="4F9D72FD"/>
    <w:rsid w:val="4FE17A31"/>
    <w:rsid w:val="4FEB0885"/>
    <w:rsid w:val="5294577D"/>
    <w:rsid w:val="52AA1E6A"/>
    <w:rsid w:val="53F84463"/>
    <w:rsid w:val="543F741C"/>
    <w:rsid w:val="559E0172"/>
    <w:rsid w:val="55DC5746"/>
    <w:rsid w:val="568E619C"/>
    <w:rsid w:val="56BE6B0F"/>
    <w:rsid w:val="56E62340"/>
    <w:rsid w:val="57073566"/>
    <w:rsid w:val="57CE29D6"/>
    <w:rsid w:val="58506956"/>
    <w:rsid w:val="588703C3"/>
    <w:rsid w:val="58BD6507"/>
    <w:rsid w:val="5A0438B6"/>
    <w:rsid w:val="5A2546D7"/>
    <w:rsid w:val="5A5A528C"/>
    <w:rsid w:val="5AB82E2B"/>
    <w:rsid w:val="5AEB7939"/>
    <w:rsid w:val="5AF30F60"/>
    <w:rsid w:val="5BDAC157"/>
    <w:rsid w:val="5C0A7FBB"/>
    <w:rsid w:val="5EAB479B"/>
    <w:rsid w:val="60DA4B7E"/>
    <w:rsid w:val="613E576C"/>
    <w:rsid w:val="62050071"/>
    <w:rsid w:val="635721FA"/>
    <w:rsid w:val="64E2007C"/>
    <w:rsid w:val="65AC068A"/>
    <w:rsid w:val="6656023A"/>
    <w:rsid w:val="66DD77E5"/>
    <w:rsid w:val="6A042FA5"/>
    <w:rsid w:val="6A4833F2"/>
    <w:rsid w:val="6B0A68FA"/>
    <w:rsid w:val="6BD539A4"/>
    <w:rsid w:val="6D12465E"/>
    <w:rsid w:val="6D983D3D"/>
    <w:rsid w:val="6DA85BDA"/>
    <w:rsid w:val="6ECF78C3"/>
    <w:rsid w:val="6EE31FBB"/>
    <w:rsid w:val="6F7E7B76"/>
    <w:rsid w:val="6F87559F"/>
    <w:rsid w:val="702B4172"/>
    <w:rsid w:val="7055216E"/>
    <w:rsid w:val="70586DE1"/>
    <w:rsid w:val="70F058CE"/>
    <w:rsid w:val="71AF14EE"/>
    <w:rsid w:val="748E78D8"/>
    <w:rsid w:val="75267A32"/>
    <w:rsid w:val="75784760"/>
    <w:rsid w:val="762304F4"/>
    <w:rsid w:val="768734D2"/>
    <w:rsid w:val="76FF2D0F"/>
    <w:rsid w:val="77721CCF"/>
    <w:rsid w:val="78055AEC"/>
    <w:rsid w:val="786825DF"/>
    <w:rsid w:val="787119EB"/>
    <w:rsid w:val="7A696EF9"/>
    <w:rsid w:val="7ACF5160"/>
    <w:rsid w:val="7B6F74FF"/>
    <w:rsid w:val="7B841A35"/>
    <w:rsid w:val="7BE34CD3"/>
    <w:rsid w:val="7D7541E1"/>
    <w:rsid w:val="7DCE22D9"/>
    <w:rsid w:val="7EF42A2E"/>
    <w:rsid w:val="7EFF0E01"/>
    <w:rsid w:val="7FCE691B"/>
    <w:rsid w:val="DBE0756F"/>
    <w:rsid w:val="E91F2ED7"/>
    <w:rsid w:val="FCAD8F5E"/>
    <w:rsid w:val="FDCF72A3"/>
    <w:rsid w:val="FEE38647"/>
    <w:rsid w:val="FFBD2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rPr>
      <w:kern w:val="0"/>
      <w:sz w:val="20"/>
    </w:rPr>
  </w:style>
  <w:style w:type="paragraph" w:styleId="5">
    <w:name w:val="Body Text"/>
    <w:basedOn w:val="1"/>
    <w:qFormat/>
    <w:uiPriority w:val="1"/>
    <w:pPr>
      <w:spacing w:after="120"/>
    </w:pPr>
    <w:rPr>
      <w:kern w:val="0"/>
      <w:sz w:val="20"/>
    </w:rPr>
  </w:style>
  <w:style w:type="paragraph" w:styleId="6">
    <w:name w:val="Body Text Indent"/>
    <w:basedOn w:val="1"/>
    <w:qFormat/>
    <w:uiPriority w:val="0"/>
    <w:pPr>
      <w:ind w:firstLine="501" w:firstLineChars="179"/>
    </w:pPr>
    <w:rPr>
      <w:sz w:val="28"/>
    </w:rPr>
  </w:style>
  <w:style w:type="paragraph" w:styleId="7">
    <w:name w:val="Plain Text"/>
    <w:basedOn w:val="1"/>
    <w:qFormat/>
    <w:uiPriority w:val="0"/>
    <w:rPr>
      <w:rFonts w:ascii="宋体" w:hAnsi="Courier New"/>
      <w:szCs w:val="20"/>
    </w:rPr>
  </w:style>
  <w:style w:type="paragraph" w:styleId="8">
    <w:name w:val="Balloon Text"/>
    <w:basedOn w:val="1"/>
    <w:link w:val="17"/>
    <w:qFormat/>
    <w:uiPriority w:val="0"/>
    <w:rPr>
      <w:sz w:val="18"/>
      <w:szCs w:val="18"/>
    </w:rPr>
  </w:style>
  <w:style w:type="paragraph" w:styleId="9">
    <w:name w:val="footer"/>
    <w:basedOn w:val="1"/>
    <w:link w:val="25"/>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0"/>
    <w:pPr>
      <w:widowControl/>
      <w:spacing w:before="100" w:beforeAutospacing="1" w:after="100" w:afterAutospacing="1" w:line="240" w:lineRule="auto"/>
      <w:jc w:val="left"/>
    </w:pPr>
    <w:rPr>
      <w:rFonts w:ascii="宋体" w:hAnsi="宋体" w:eastAsia="Times New Roman" w:cs="宋体"/>
      <w:color w:val="000000"/>
      <w:kern w:val="0"/>
      <w:sz w:val="24"/>
      <w:lang w:eastAsia="en-US" w:bidi="en-US"/>
    </w:rPr>
  </w:style>
  <w:style w:type="paragraph" w:styleId="12">
    <w:name w:val="Body Text First Indent 2"/>
    <w:basedOn w:val="6"/>
    <w:next w:val="1"/>
    <w:unhideWhenUsed/>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2"/>
    <w:qFormat/>
    <w:uiPriority w:val="1"/>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15"/>
    <w:link w:val="8"/>
    <w:qFormat/>
    <w:uiPriority w:val="0"/>
    <w:rPr>
      <w:kern w:val="2"/>
      <w:sz w:val="18"/>
      <w:szCs w:val="18"/>
    </w:rPr>
  </w:style>
  <w:style w:type="character" w:customStyle="1" w:styleId="18">
    <w:name w:val="font21"/>
    <w:basedOn w:val="15"/>
    <w:qFormat/>
    <w:uiPriority w:val="0"/>
    <w:rPr>
      <w:rFonts w:hint="eastAsia" w:ascii="仿宋" w:hAnsi="仿宋" w:eastAsia="仿宋" w:cs="仿宋"/>
      <w:b/>
      <w:bCs/>
      <w:color w:val="000000"/>
      <w:sz w:val="20"/>
      <w:szCs w:val="20"/>
      <w:u w:val="none"/>
    </w:rPr>
  </w:style>
  <w:style w:type="paragraph" w:customStyle="1" w:styleId="19">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styleId="20">
    <w:name w:val="List Paragraph"/>
    <w:basedOn w:val="1"/>
    <w:qFormat/>
    <w:uiPriority w:val="34"/>
    <w:pPr>
      <w:ind w:firstLine="420" w:firstLineChars="200"/>
    </w:pPr>
  </w:style>
  <w:style w:type="paragraph" w:customStyle="1" w:styleId="21">
    <w:name w:val="列表段落1"/>
    <w:basedOn w:val="1"/>
    <w:qFormat/>
    <w:uiPriority w:val="34"/>
    <w:pPr>
      <w:ind w:firstLine="420" w:firstLineChars="200"/>
    </w:pPr>
    <w:rPr>
      <w:rFonts w:ascii="Times New Roman" w:hAnsi="Times New Roman" w:eastAsia="宋体" w:cs="Times New Roman"/>
    </w:rPr>
  </w:style>
  <w:style w:type="paragraph" w:customStyle="1" w:styleId="22">
    <w:name w:val="正文标准样式ty"/>
    <w:basedOn w:val="1"/>
    <w:qFormat/>
    <w:uiPriority w:val="0"/>
    <w:pPr>
      <w:spacing w:line="360" w:lineRule="auto"/>
      <w:ind w:firstLine="480" w:firstLineChars="200"/>
    </w:pPr>
    <w:rPr>
      <w:rFonts w:ascii="Times New Roman" w:hAnsi="Times New Roman" w:cs="宋体"/>
      <w:sz w:val="24"/>
    </w:rPr>
  </w:style>
  <w:style w:type="paragraph" w:customStyle="1" w:styleId="23">
    <w:name w:val="Body text|1"/>
    <w:basedOn w:val="1"/>
    <w:qFormat/>
    <w:uiPriority w:val="0"/>
    <w:pPr>
      <w:spacing w:after="0" w:line="444" w:lineRule="auto"/>
      <w:jc w:val="left"/>
    </w:pPr>
    <w:rPr>
      <w:rFonts w:ascii="宋体" w:hAnsi="宋体" w:eastAsia="宋体" w:cs="宋体"/>
      <w:color w:val="000000"/>
      <w:kern w:val="0"/>
      <w:sz w:val="30"/>
      <w:szCs w:val="30"/>
      <w:lang w:val="zh-TW" w:eastAsia="zh-TW" w:bidi="zh-TW"/>
    </w:rPr>
  </w:style>
  <w:style w:type="character" w:customStyle="1" w:styleId="24">
    <w:name w:val="页眉 字符"/>
    <w:basedOn w:val="15"/>
    <w:link w:val="10"/>
    <w:qFormat/>
    <w:uiPriority w:val="0"/>
    <w:rPr>
      <w:rFonts w:asciiTheme="minorHAnsi" w:hAnsiTheme="minorHAnsi" w:eastAsiaTheme="minorEastAsia" w:cstheme="minorBidi"/>
      <w:kern w:val="2"/>
      <w:sz w:val="18"/>
      <w:szCs w:val="18"/>
    </w:rPr>
  </w:style>
  <w:style w:type="character" w:customStyle="1" w:styleId="25">
    <w:name w:val="页脚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3935</Words>
  <Characters>4021</Characters>
  <Lines>29</Lines>
  <Paragraphs>8</Paragraphs>
  <TotalTime>34</TotalTime>
  <ScaleCrop>false</ScaleCrop>
  <LinksUpToDate>false</LinksUpToDate>
  <CharactersWithSpaces>4021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2020-12-04T17:02:00Z</dcterms:created>
  <dc:creator>qpn</dc:creator>
  <cp:lastModifiedBy>Administrator</cp:lastModifiedBy>
  <cp:lastPrinted>2024-11-12T10:51:00Z</cp:lastPrinted>
  <dcterms:modified xsi:type="dcterms:W3CDTF">2025-05-30T01:56:28Z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1604F088291F44E5997E2B3CEF5B3981_13</vt:lpwstr>
  </property>
  <property fmtid="{D5CDD505-2E9C-101B-9397-08002B2CF9AE}" pid="4" name="KSOTemplateDocerSaveRecord">
    <vt:lpwstr>eyJoZGlkIjoiNTcxYzgyZWM2NGFlYjkxZTI2MGI1ZGRkNTQ1Mzk5YzUiLCJ1c2VySWQiOiIyMzM3MDg4OTgifQ==</vt:lpwstr>
  </property>
</Properties>
</file>