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D4009">
      <w:pPr>
        <w:spacing w:line="560" w:lineRule="exact"/>
        <w:jc w:val="center"/>
        <w:rPr>
          <w:rFonts w:ascii="方正小标宋简体" w:hAnsi="方正小标宋简体" w:eastAsia="仿宋" w:cs="方正小标宋简体"/>
          <w:b/>
          <w:bCs/>
          <w:sz w:val="44"/>
          <w:szCs w:val="44"/>
        </w:rPr>
      </w:pPr>
      <w:r>
        <w:rPr>
          <w:rFonts w:hint="eastAsia" w:ascii="仿宋" w:hAnsi="仿宋" w:eastAsia="仿宋" w:cs="仿宋"/>
          <w:b/>
          <w:bCs/>
          <w:sz w:val="44"/>
          <w:szCs w:val="44"/>
        </w:rPr>
        <w:t>赣州市中心血站网络安全服务项目采购需求</w:t>
      </w:r>
    </w:p>
    <w:p w14:paraId="02F7A282">
      <w:pPr>
        <w:spacing w:line="560" w:lineRule="exact"/>
        <w:jc w:val="left"/>
        <w:rPr>
          <w:rFonts w:ascii="仿宋" w:hAnsi="仿宋" w:eastAsia="仿宋" w:cs="仿宋"/>
          <w:color w:val="000000"/>
          <w:kern w:val="0"/>
          <w:sz w:val="27"/>
          <w:szCs w:val="27"/>
        </w:rPr>
      </w:pPr>
      <w:r>
        <w:rPr>
          <w:rFonts w:hint="eastAsia" w:ascii="仿宋" w:hAnsi="仿宋" w:eastAsia="仿宋" w:cs="仿宋"/>
          <w:color w:val="000000"/>
          <w:kern w:val="0"/>
          <w:sz w:val="27"/>
          <w:szCs w:val="27"/>
        </w:rPr>
        <w:t>一、</w:t>
      </w:r>
      <w:r>
        <w:rPr>
          <w:rFonts w:hint="eastAsia" w:ascii="仿宋_GB2312" w:hAnsi="仿宋_GB2312" w:eastAsia="仿宋_GB2312" w:cs="仿宋_GB2312"/>
          <w:b/>
          <w:bCs/>
          <w:sz w:val="27"/>
          <w:szCs w:val="27"/>
        </w:rPr>
        <w:t>项目名称：</w:t>
      </w:r>
      <w:r>
        <w:rPr>
          <w:rFonts w:hint="eastAsia" w:ascii="仿宋" w:hAnsi="仿宋" w:eastAsia="仿宋" w:cs="仿宋"/>
          <w:color w:val="000000"/>
          <w:kern w:val="0"/>
          <w:sz w:val="27"/>
          <w:szCs w:val="27"/>
        </w:rPr>
        <w:t>赣州市中心血站网络安全服务</w:t>
      </w:r>
    </w:p>
    <w:p w14:paraId="4BD13E68">
      <w:pPr>
        <w:spacing w:line="560" w:lineRule="exact"/>
        <w:jc w:val="left"/>
        <w:rPr>
          <w:rFonts w:ascii="仿宋_GB2312" w:hAnsi="仿宋_GB2312" w:eastAsia="仿宋_GB2312" w:cs="仿宋_GB2312"/>
          <w:b/>
          <w:bCs/>
          <w:sz w:val="27"/>
          <w:szCs w:val="27"/>
        </w:rPr>
      </w:pPr>
      <w:r>
        <w:rPr>
          <w:rFonts w:hint="eastAsia" w:ascii="仿宋_GB2312" w:hAnsi="仿宋_GB2312" w:eastAsia="仿宋_GB2312" w:cs="仿宋_GB2312"/>
          <w:b/>
          <w:bCs/>
          <w:sz w:val="27"/>
          <w:szCs w:val="27"/>
        </w:rPr>
        <w:t>二、采购需求</w:t>
      </w:r>
    </w:p>
    <w:p w14:paraId="27EA5458">
      <w:pPr>
        <w:spacing w:line="360" w:lineRule="auto"/>
        <w:ind w:firstLine="540" w:firstLineChars="200"/>
        <w:jc w:val="left"/>
        <w:rPr>
          <w:rFonts w:ascii="仿宋" w:hAnsi="仿宋" w:eastAsia="仿宋" w:cs="仿宋"/>
          <w:color w:val="auto"/>
          <w:kern w:val="0"/>
          <w:sz w:val="27"/>
          <w:szCs w:val="27"/>
        </w:rPr>
      </w:pPr>
      <w:r>
        <w:rPr>
          <w:rFonts w:hint="eastAsia" w:ascii="仿宋" w:hAnsi="仿宋" w:eastAsia="仿宋" w:cs="仿宋"/>
          <w:color w:val="auto"/>
          <w:kern w:val="0"/>
          <w:sz w:val="27"/>
          <w:szCs w:val="27"/>
        </w:rPr>
        <w:t>（一）响应供应商须</w:t>
      </w:r>
      <w:r>
        <w:rPr>
          <w:rFonts w:hint="eastAsia" w:ascii="仿宋" w:hAnsi="仿宋" w:eastAsia="仿宋" w:cs="仿宋"/>
          <w:bCs/>
          <w:color w:val="auto"/>
          <w:sz w:val="27"/>
          <w:szCs w:val="27"/>
        </w:rPr>
        <w:t>需提供具有中国网络安全审查技术与认证中心颁发的信息系统安全运维及信息安全应急处理服务资质证书；需具备安全运维服务经验，自202</w:t>
      </w:r>
      <w:r>
        <w:rPr>
          <w:rFonts w:hint="eastAsia" w:ascii="仿宋" w:hAnsi="仿宋" w:eastAsia="仿宋" w:cs="仿宋"/>
          <w:bCs/>
          <w:color w:val="auto"/>
          <w:sz w:val="27"/>
          <w:szCs w:val="27"/>
          <w:lang w:val="en-US" w:eastAsia="zh-CN"/>
        </w:rPr>
        <w:t>3</w:t>
      </w:r>
      <w:r>
        <w:rPr>
          <w:rFonts w:hint="eastAsia" w:ascii="仿宋" w:hAnsi="仿宋" w:eastAsia="仿宋" w:cs="仿宋"/>
          <w:bCs/>
          <w:color w:val="auto"/>
          <w:sz w:val="27"/>
          <w:szCs w:val="27"/>
        </w:rPr>
        <w:t>年01月起（以签订</w:t>
      </w:r>
      <w:bookmarkStart w:id="0" w:name="_GoBack"/>
      <w:bookmarkEnd w:id="0"/>
      <w:r>
        <w:rPr>
          <w:rFonts w:hint="eastAsia" w:ascii="仿宋" w:hAnsi="仿宋" w:eastAsia="仿宋" w:cs="仿宋"/>
          <w:bCs/>
          <w:color w:val="auto"/>
          <w:sz w:val="27"/>
          <w:szCs w:val="27"/>
        </w:rPr>
        <w:t>合同时间为准）承担过至少</w:t>
      </w:r>
      <w:r>
        <w:rPr>
          <w:rFonts w:ascii="仿宋" w:hAnsi="仿宋" w:eastAsia="仿宋" w:cs="仿宋"/>
          <w:bCs/>
          <w:color w:val="auto"/>
          <w:sz w:val="27"/>
          <w:szCs w:val="27"/>
        </w:rPr>
        <w:t>3</w:t>
      </w:r>
      <w:r>
        <w:rPr>
          <w:rFonts w:hint="eastAsia" w:ascii="仿宋" w:hAnsi="仿宋" w:eastAsia="仿宋" w:cs="仿宋"/>
          <w:bCs/>
          <w:color w:val="auto"/>
          <w:sz w:val="27"/>
          <w:szCs w:val="27"/>
        </w:rPr>
        <w:t>份类似安全运维服务项目业绩并提供中标（成交）通知书或合同进行佐证</w:t>
      </w:r>
      <w:r>
        <w:rPr>
          <w:rFonts w:hint="eastAsia" w:ascii="仿宋" w:hAnsi="仿宋" w:eastAsia="仿宋" w:cs="仿宋"/>
          <w:color w:val="auto"/>
          <w:kern w:val="0"/>
          <w:sz w:val="27"/>
          <w:szCs w:val="27"/>
        </w:rPr>
        <w:t>。</w:t>
      </w:r>
    </w:p>
    <w:p w14:paraId="32526EEB">
      <w:pPr>
        <w:spacing w:line="360" w:lineRule="auto"/>
        <w:ind w:firstLine="540" w:firstLineChars="200"/>
        <w:jc w:val="left"/>
        <w:rPr>
          <w:rFonts w:ascii="仿宋" w:hAnsi="仿宋" w:eastAsia="仿宋" w:cs="仿宋"/>
          <w:color w:val="000000"/>
          <w:kern w:val="0"/>
          <w:sz w:val="27"/>
          <w:szCs w:val="27"/>
        </w:rPr>
      </w:pPr>
      <w:r>
        <w:rPr>
          <w:rFonts w:hint="eastAsia" w:ascii="仿宋" w:hAnsi="仿宋" w:eastAsia="仿宋" w:cs="仿宋"/>
          <w:color w:val="000000"/>
          <w:kern w:val="0"/>
          <w:sz w:val="27"/>
          <w:szCs w:val="27"/>
        </w:rPr>
        <w:t>（二）所有服务的知识产权问题，由响应供应商自行负责。</w:t>
      </w:r>
    </w:p>
    <w:p w14:paraId="5114BA38">
      <w:pPr>
        <w:spacing w:line="360" w:lineRule="auto"/>
        <w:ind w:firstLine="540" w:firstLineChars="200"/>
        <w:jc w:val="left"/>
        <w:rPr>
          <w:rFonts w:ascii="仿宋" w:hAnsi="仿宋" w:eastAsia="仿宋" w:cs="仿宋"/>
          <w:color w:val="000000"/>
          <w:kern w:val="0"/>
          <w:sz w:val="27"/>
          <w:szCs w:val="27"/>
        </w:rPr>
      </w:pPr>
      <w:r>
        <w:rPr>
          <w:rFonts w:hint="eastAsia" w:ascii="仿宋" w:hAnsi="仿宋" w:eastAsia="仿宋" w:cs="仿宋"/>
          <w:color w:val="000000"/>
          <w:kern w:val="0"/>
          <w:sz w:val="27"/>
          <w:szCs w:val="27"/>
        </w:rPr>
        <w:t>（三）本采购需求提出的是最低限度的要求，响应供应商的方案应达到或优于本要求，且符合国家有关标准和规范要求。</w:t>
      </w:r>
    </w:p>
    <w:p w14:paraId="244D9F50">
      <w:pPr>
        <w:spacing w:line="480" w:lineRule="exact"/>
        <w:ind w:firstLine="540" w:firstLineChars="200"/>
        <w:rPr>
          <w:rFonts w:ascii="仿宋" w:hAnsi="仿宋" w:eastAsia="仿宋" w:cs="仿宋"/>
          <w:bCs/>
          <w:sz w:val="27"/>
          <w:szCs w:val="27"/>
        </w:rPr>
      </w:pPr>
      <w:r>
        <w:rPr>
          <w:rFonts w:hint="eastAsia" w:ascii="仿宋" w:hAnsi="仿宋" w:eastAsia="仿宋" w:cs="仿宋"/>
          <w:kern w:val="0"/>
          <w:sz w:val="27"/>
          <w:szCs w:val="27"/>
        </w:rPr>
        <w:t>（四）</w:t>
      </w:r>
      <w:r>
        <w:rPr>
          <w:rFonts w:hint="eastAsia" w:ascii="仿宋" w:hAnsi="仿宋" w:eastAsia="仿宋" w:cs="仿宋"/>
          <w:bCs/>
          <w:sz w:val="27"/>
          <w:szCs w:val="27"/>
        </w:rPr>
        <w:t>为防止虚假应标，采购单位在响应供应商成交后有权要求对投标人所投产品或服务邀请国家认可的第三方专业权威检测机构（国家网络与信息系统安全产品质量监督检验中心、公安部计算机信息系统安全产品质量监督检验中心、公安部信息安全产品检测中心等）按招标文件相关的技术指标、证书原件与功能需求进行检测(费用计入投标报价中或由成交供应商负责)，及现场功能进行演示；如成交供应商提供设备不能满足采购需求及符合证明材料，视为虚假应标，成交供应商须承担由此造成的一切后果及相关的法律责任。</w:t>
      </w:r>
    </w:p>
    <w:p w14:paraId="2236CBA4">
      <w:pPr>
        <w:spacing w:line="360" w:lineRule="auto"/>
        <w:ind w:firstLine="540" w:firstLineChars="200"/>
        <w:jc w:val="left"/>
        <w:rPr>
          <w:rFonts w:ascii="仿宋_GB2312" w:hAnsi="仿宋_GB2312" w:eastAsia="仿宋_GB2312" w:cs="仿宋_GB2312"/>
          <w:b/>
          <w:bCs/>
          <w:sz w:val="27"/>
          <w:szCs w:val="27"/>
        </w:rPr>
      </w:pPr>
      <w:r>
        <w:rPr>
          <w:rFonts w:hint="eastAsia" w:ascii="仿宋" w:hAnsi="仿宋" w:eastAsia="仿宋" w:cs="仿宋"/>
          <w:color w:val="000000"/>
          <w:kern w:val="0"/>
          <w:sz w:val="27"/>
          <w:szCs w:val="27"/>
        </w:rPr>
        <w:t>（</w:t>
      </w:r>
      <w:r>
        <w:rPr>
          <w:rFonts w:hint="eastAsia" w:ascii="仿宋" w:hAnsi="仿宋" w:eastAsia="仿宋" w:cs="仿宋"/>
          <w:color w:val="000000"/>
          <w:kern w:val="0"/>
          <w:sz w:val="27"/>
          <w:szCs w:val="27"/>
          <w:lang w:val="en-US" w:eastAsia="zh-CN"/>
        </w:rPr>
        <w:t>五</w:t>
      </w:r>
      <w:r>
        <w:rPr>
          <w:rFonts w:hint="eastAsia" w:ascii="仿宋" w:hAnsi="仿宋" w:eastAsia="仿宋" w:cs="仿宋"/>
          <w:color w:val="000000"/>
          <w:kern w:val="0"/>
          <w:sz w:val="27"/>
          <w:szCs w:val="27"/>
        </w:rPr>
        <w:t>）网络安全服务清单</w:t>
      </w:r>
    </w:p>
    <w:tbl>
      <w:tblPr>
        <w:tblStyle w:val="13"/>
        <w:tblW w:w="4996" w:type="pct"/>
        <w:tblInd w:w="0" w:type="dxa"/>
        <w:tblLayout w:type="fixed"/>
        <w:tblCellMar>
          <w:top w:w="0" w:type="dxa"/>
          <w:left w:w="108" w:type="dxa"/>
          <w:bottom w:w="0" w:type="dxa"/>
          <w:right w:w="108" w:type="dxa"/>
        </w:tblCellMar>
      </w:tblPr>
      <w:tblGrid>
        <w:gridCol w:w="417"/>
        <w:gridCol w:w="689"/>
        <w:gridCol w:w="1145"/>
        <w:gridCol w:w="4767"/>
        <w:gridCol w:w="1199"/>
        <w:gridCol w:w="1064"/>
      </w:tblGrid>
      <w:tr w14:paraId="67B72475">
        <w:tblPrEx>
          <w:tblCellMar>
            <w:top w:w="0" w:type="dxa"/>
            <w:left w:w="108" w:type="dxa"/>
            <w:bottom w:w="0" w:type="dxa"/>
            <w:right w:w="108" w:type="dxa"/>
          </w:tblCellMar>
        </w:tblPrEx>
        <w:trPr>
          <w:trHeight w:val="720" w:hRule="atLeast"/>
        </w:trPr>
        <w:tc>
          <w:tcPr>
            <w:tcW w:w="225"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556680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371"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4B7F47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服务类型</w:t>
            </w:r>
          </w:p>
        </w:tc>
        <w:tc>
          <w:tcPr>
            <w:tcW w:w="617"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0E2413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服务名称</w:t>
            </w:r>
          </w:p>
        </w:tc>
        <w:tc>
          <w:tcPr>
            <w:tcW w:w="2568"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148043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服务内容</w:t>
            </w:r>
          </w:p>
        </w:tc>
        <w:tc>
          <w:tcPr>
            <w:tcW w:w="646"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220955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运维频率</w:t>
            </w:r>
          </w:p>
        </w:tc>
        <w:tc>
          <w:tcPr>
            <w:tcW w:w="573"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47405C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输出物</w:t>
            </w:r>
          </w:p>
        </w:tc>
      </w:tr>
      <w:tr w14:paraId="6792820E">
        <w:tblPrEx>
          <w:tblCellMar>
            <w:top w:w="0" w:type="dxa"/>
            <w:left w:w="108" w:type="dxa"/>
            <w:bottom w:w="0" w:type="dxa"/>
            <w:right w:w="108" w:type="dxa"/>
          </w:tblCellMar>
        </w:tblPrEx>
        <w:trPr>
          <w:trHeight w:val="1182" w:hRule="atLeast"/>
        </w:trPr>
        <w:tc>
          <w:tcPr>
            <w:tcW w:w="225" w:type="pct"/>
            <w:vMerge w:val="restart"/>
            <w:tcBorders>
              <w:top w:val="single" w:color="000000" w:sz="4" w:space="0"/>
              <w:left w:val="single" w:color="000000" w:sz="4" w:space="0"/>
              <w:right w:val="single" w:color="000000" w:sz="4" w:space="0"/>
            </w:tcBorders>
            <w:shd w:val="clear" w:color="auto" w:fill="auto"/>
            <w:noWrap/>
            <w:vAlign w:val="center"/>
          </w:tcPr>
          <w:p w14:paraId="70DEA4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w:t>
            </w:r>
          </w:p>
        </w:tc>
        <w:tc>
          <w:tcPr>
            <w:tcW w:w="371" w:type="pct"/>
            <w:vMerge w:val="restart"/>
            <w:tcBorders>
              <w:top w:val="single" w:color="000000" w:sz="4" w:space="0"/>
              <w:left w:val="single" w:color="000000" w:sz="4" w:space="0"/>
              <w:right w:val="single" w:color="000000" w:sz="4" w:space="0"/>
            </w:tcBorders>
            <w:shd w:val="clear" w:color="auto" w:fill="auto"/>
            <w:vAlign w:val="center"/>
          </w:tcPr>
          <w:p w14:paraId="061084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安全梳理</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CD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资产梳理</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1830">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主要梳理内容包括物理环境、网络拓扑，网络设备、安全设备、系统服务器、设备接口互联及陈列情况，补齐线路互联标识等。</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7F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每季度</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11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《资产台账》/季度</w:t>
            </w:r>
          </w:p>
        </w:tc>
      </w:tr>
      <w:tr w14:paraId="09508263">
        <w:tblPrEx>
          <w:tblCellMar>
            <w:top w:w="0" w:type="dxa"/>
            <w:left w:w="108" w:type="dxa"/>
            <w:bottom w:w="0" w:type="dxa"/>
            <w:right w:w="108" w:type="dxa"/>
          </w:tblCellMar>
        </w:tblPrEx>
        <w:trPr>
          <w:trHeight w:val="1080" w:hRule="atLeast"/>
        </w:trPr>
        <w:tc>
          <w:tcPr>
            <w:tcW w:w="225" w:type="pct"/>
            <w:vMerge w:val="continue"/>
            <w:tcBorders>
              <w:left w:val="single" w:color="000000" w:sz="4" w:space="0"/>
              <w:right w:val="single" w:color="000000" w:sz="4" w:space="0"/>
            </w:tcBorders>
            <w:shd w:val="clear" w:color="auto" w:fill="auto"/>
            <w:noWrap/>
            <w:vAlign w:val="center"/>
          </w:tcPr>
          <w:p w14:paraId="6E303C23">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left w:val="single" w:color="000000" w:sz="4" w:space="0"/>
              <w:right w:val="single" w:color="000000" w:sz="4" w:space="0"/>
            </w:tcBorders>
            <w:shd w:val="clear" w:color="auto" w:fill="auto"/>
            <w:vAlign w:val="center"/>
          </w:tcPr>
          <w:p w14:paraId="2C668B8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171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业务梳理</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B271F">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根据业务流程，主要梳理内容包括安全设备的管理方式，网络及安全设备的策略配置，通过访谈、收集并分析相关设备的配置，梳理业务走向。</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E72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每季度</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9941">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24918AE7">
        <w:tblPrEx>
          <w:tblCellMar>
            <w:top w:w="0" w:type="dxa"/>
            <w:left w:w="108" w:type="dxa"/>
            <w:bottom w:w="0" w:type="dxa"/>
            <w:right w:w="108" w:type="dxa"/>
          </w:tblCellMar>
        </w:tblPrEx>
        <w:trPr>
          <w:trHeight w:val="1080" w:hRule="atLeast"/>
        </w:trPr>
        <w:tc>
          <w:tcPr>
            <w:tcW w:w="225" w:type="pct"/>
            <w:vMerge w:val="continue"/>
            <w:tcBorders>
              <w:left w:val="single" w:color="000000" w:sz="4" w:space="0"/>
              <w:bottom w:val="single" w:color="000000" w:sz="4" w:space="0"/>
              <w:right w:val="single" w:color="000000" w:sz="4" w:space="0"/>
            </w:tcBorders>
            <w:shd w:val="clear" w:color="auto" w:fill="auto"/>
            <w:noWrap/>
            <w:vAlign w:val="center"/>
          </w:tcPr>
          <w:p w14:paraId="5F997B35">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left w:val="single" w:color="000000" w:sz="4" w:space="0"/>
              <w:bottom w:val="single" w:color="000000" w:sz="4" w:space="0"/>
              <w:right w:val="single" w:color="000000" w:sz="4" w:space="0"/>
            </w:tcBorders>
            <w:shd w:val="clear" w:color="auto" w:fill="auto"/>
            <w:vAlign w:val="center"/>
          </w:tcPr>
          <w:p w14:paraId="26CC60EA">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3C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制度梳理</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A94C">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根据等级保护三级要求，完善各项信息安全管理制度，通过对制度的补充、完善，形成一套可以满足信息安全等级保护三级要求，并且可以实际运用的管理制度文件。</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E1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每年</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373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r>
              <w:rPr>
                <w:rFonts w:hint="eastAsia" w:ascii="仿宋" w:hAnsi="仿宋" w:eastAsia="仿宋" w:cs="仿宋"/>
                <w:sz w:val="24"/>
                <w:szCs w:val="24"/>
              </w:rPr>
              <w:t>《安全管理制度汇编》/年</w:t>
            </w:r>
          </w:p>
        </w:tc>
      </w:tr>
      <w:tr w14:paraId="614E0228">
        <w:tblPrEx>
          <w:tblCellMar>
            <w:top w:w="0" w:type="dxa"/>
            <w:left w:w="108" w:type="dxa"/>
            <w:bottom w:w="0" w:type="dxa"/>
            <w:right w:w="108" w:type="dxa"/>
          </w:tblCellMar>
        </w:tblPrEx>
        <w:trPr>
          <w:trHeight w:val="1722"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4FB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2</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1F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日常运维</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52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巡检服务</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3670">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全面检查，对信息系统所涉及的物理环境、网络和安全设备运行状况、系统服务器和相关安全设施进行全面和严格的专项巡检。包括设备版本与基本配置、设备资源使用状态、接口配置与状态、访问控制策略、告警信息、系统配置策略等关键工作指标进行例行监控。</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09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96E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《巡检报告》/月</w:t>
            </w:r>
          </w:p>
        </w:tc>
      </w:tr>
      <w:tr w14:paraId="7B472BF1">
        <w:tblPrEx>
          <w:tblCellMar>
            <w:top w:w="0" w:type="dxa"/>
            <w:left w:w="108" w:type="dxa"/>
            <w:bottom w:w="0" w:type="dxa"/>
            <w:right w:w="108" w:type="dxa"/>
          </w:tblCellMar>
        </w:tblPrEx>
        <w:trPr>
          <w:trHeight w:val="1020"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BF66">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BCFA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C4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病毒查杀</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38A9">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通过专业的安全软件或工具来扫描、定位业务系统服务器及客户端中的病毒及恶意软件，提供修复建议，并协助修复。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10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35FEC">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6CFBEBE9">
        <w:tblPrEx>
          <w:tblCellMar>
            <w:top w:w="0" w:type="dxa"/>
            <w:left w:w="108" w:type="dxa"/>
            <w:bottom w:w="0" w:type="dxa"/>
            <w:right w:w="108" w:type="dxa"/>
          </w:tblCellMar>
        </w:tblPrEx>
        <w:trPr>
          <w:trHeight w:val="1182"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1FA6">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607B">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49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故障处置</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3BF2">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巡检过程中，发现设备故障后，为了确保业务系统的持续运行，依据应急处置流程对故障进行处置。</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27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按需</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24626">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00D3F2AF">
        <w:tblPrEx>
          <w:tblCellMar>
            <w:top w:w="0" w:type="dxa"/>
            <w:left w:w="108" w:type="dxa"/>
            <w:bottom w:w="0" w:type="dxa"/>
            <w:right w:w="108" w:type="dxa"/>
          </w:tblCellMar>
        </w:tblPrEx>
        <w:trPr>
          <w:trHeight w:val="1002"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520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2443">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C0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安全通告</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5D8E">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定期提供最新病毒的防御方案、最新系统漏洞信息及其修复方法、最新发生的安全事件等内容的安全通告报告。</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CF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D0A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2DCB2B63">
        <w:tblPrEx>
          <w:tblCellMar>
            <w:top w:w="0" w:type="dxa"/>
            <w:left w:w="108" w:type="dxa"/>
            <w:bottom w:w="0" w:type="dxa"/>
            <w:right w:w="108" w:type="dxa"/>
          </w:tblCellMar>
        </w:tblPrEx>
        <w:trPr>
          <w:trHeight w:val="2240"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B43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3</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A11F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安全检测</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13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基线检查</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281B">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既定的检查规范及方法，采用人工检查用表（checklist）、脚本程序或基线扫描工具对评估目标范围内的主机系统安全、数据库安全、中间件安全等进行系统的策略配置、服务配置、保护措施以及系统和软件升级、更新情况，是否存在后门等内容进行检查，识别潜在的风险，提供修复建议，并协助进行漏洞修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AB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restart"/>
            <w:tcBorders>
              <w:top w:val="single" w:color="000000" w:sz="4" w:space="0"/>
              <w:left w:val="single" w:color="000000" w:sz="4" w:space="0"/>
              <w:bottom w:val="nil"/>
              <w:right w:val="single" w:color="000000" w:sz="4" w:space="0"/>
            </w:tcBorders>
            <w:shd w:val="clear" w:color="auto" w:fill="auto"/>
            <w:vAlign w:val="center"/>
          </w:tcPr>
          <w:p w14:paraId="540769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《巡检报告》/月</w:t>
            </w:r>
          </w:p>
        </w:tc>
      </w:tr>
      <w:tr w14:paraId="7A4EAF3C">
        <w:tblPrEx>
          <w:tblCellMar>
            <w:top w:w="0" w:type="dxa"/>
            <w:left w:w="108" w:type="dxa"/>
            <w:bottom w:w="0" w:type="dxa"/>
            <w:right w:w="108" w:type="dxa"/>
          </w:tblCellMar>
        </w:tblPrEx>
        <w:trPr>
          <w:trHeight w:val="520"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141E">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209B">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A4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漏洞扫描</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6FF5">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采用行业认可、安全合规的漏洞扫描系统，通过定制的扫描规则，形成安全扫描策略文档，对服务器、网络设备、安全设备等进行自动化安全扫描，输出安全扫描报告提供修复建议，并协助进行漏洞修复。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F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1686230E">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5417C340">
        <w:tblPrEx>
          <w:tblCellMar>
            <w:top w:w="0" w:type="dxa"/>
            <w:left w:w="108" w:type="dxa"/>
            <w:bottom w:w="0" w:type="dxa"/>
            <w:right w:w="108" w:type="dxa"/>
          </w:tblCellMar>
        </w:tblPrEx>
        <w:trPr>
          <w:trHeight w:val="1339"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2BF5">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130C">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E9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WebShell扫描</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CDD3">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通过web后门检查工具，针对网站或应用系统服务器所有文件进行安全扫描，发现系统文件中潜在的webshell、网页后门等恶意文件，提供修复建议，并协助进行漏洞修复。</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8A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136ACBB0">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480B56CC">
        <w:tblPrEx>
          <w:tblCellMar>
            <w:top w:w="0" w:type="dxa"/>
            <w:left w:w="108" w:type="dxa"/>
            <w:bottom w:w="0" w:type="dxa"/>
            <w:right w:w="108" w:type="dxa"/>
          </w:tblCellMar>
        </w:tblPrEx>
        <w:trPr>
          <w:trHeight w:val="1242"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E8B8">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4168">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6D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漏洞加固指导服务</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6FCF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基于攻防视角评估资产漏洞风险，识别可实际产生风险的漏洞，提供漏洞修复的优先级建议，可大幅减少漏洞整改工作量。</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FA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6A00D5F8">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36614B45">
        <w:tblPrEx>
          <w:tblCellMar>
            <w:top w:w="0" w:type="dxa"/>
            <w:left w:w="108" w:type="dxa"/>
            <w:bottom w:w="0" w:type="dxa"/>
            <w:right w:w="108" w:type="dxa"/>
          </w:tblCellMar>
        </w:tblPrEx>
        <w:trPr>
          <w:trHeight w:val="1320"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558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9286">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88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漏洞无效化服务</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3E79">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对于无法整改的漏洞，提供漏洞无效化技术手段：可使扫描器扫得到资产，但无法扫描到漏洞。</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E8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vMerge w:val="continue"/>
            <w:tcBorders>
              <w:top w:val="single" w:color="000000" w:sz="4" w:space="0"/>
              <w:left w:val="single" w:color="000000" w:sz="4" w:space="0"/>
              <w:bottom w:val="nil"/>
              <w:right w:val="single" w:color="000000" w:sz="4" w:space="0"/>
            </w:tcBorders>
            <w:shd w:val="clear" w:color="auto" w:fill="auto"/>
            <w:vAlign w:val="center"/>
          </w:tcPr>
          <w:p w14:paraId="61C4FB8F">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7375A44F">
        <w:tblPrEx>
          <w:tblCellMar>
            <w:top w:w="0" w:type="dxa"/>
            <w:left w:w="108" w:type="dxa"/>
            <w:bottom w:w="0" w:type="dxa"/>
            <w:right w:w="108" w:type="dxa"/>
          </w:tblCellMar>
        </w:tblPrEx>
        <w:trPr>
          <w:trHeight w:val="2235"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09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6D1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优化加固</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9F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网络安全优化加固</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0EC90">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优化加固是指采取一系列措施来增强网络环境的安全性，以抵御各种潜在的威胁和攻击。主要针对网络设备、安全设备、服务器、应用系统以及网络结构的口令策略、账户权限、网络服务、访问控制、用户鉴别等加固项进行加固，包括关闭非必要的服务和端口、设置强密码策略、合理配置硬件设备的访问控制列表、分析网络架构和拓扑，评估网络的安全性和可扩展性等，通过该服务制定详细的安全策略和实施规范，减少网络环境中潜在的安全风险和攻击威胁。</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D2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每月</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51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《巡检报告》/月</w:t>
            </w:r>
          </w:p>
        </w:tc>
      </w:tr>
      <w:tr w14:paraId="63B62392">
        <w:tblPrEx>
          <w:tblCellMar>
            <w:top w:w="0" w:type="dxa"/>
            <w:left w:w="108" w:type="dxa"/>
            <w:bottom w:w="0" w:type="dxa"/>
            <w:right w:w="108" w:type="dxa"/>
          </w:tblCellMar>
        </w:tblPrEx>
        <w:trPr>
          <w:trHeight w:val="1680"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2C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7E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网络安全应急演练</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4D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模拟演练</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50D6">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针对应急预案中全部或大部分应急响应功能，搭建模拟测试环境，演练过程采取交互方式进行，要求尽量真实，以测试应急响应的功能。例如，指挥和控制功能的演练，检测、评价多个部门在紧急状态下实现集权式的运行和响应处置能力等。</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BCB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一年1次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EF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《网络安全应急演练工作方案》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《网络安全应急演练总结报告》</w:t>
            </w:r>
          </w:p>
        </w:tc>
      </w:tr>
      <w:tr w14:paraId="51B0399F">
        <w:tblPrEx>
          <w:tblCellMar>
            <w:top w:w="0" w:type="dxa"/>
            <w:left w:w="108" w:type="dxa"/>
            <w:bottom w:w="0" w:type="dxa"/>
            <w:right w:w="108" w:type="dxa"/>
          </w:tblCellMar>
        </w:tblPrEx>
        <w:trPr>
          <w:trHeight w:val="1134"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1B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BE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渗透测试</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30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渗透测试</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738C">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通过模拟黑客使用的工具、分析方法对网站、业务系统、应用系统等进行安全测试，并结合智能工具扫描结果，由高级工程师进行深入的手工测试和分析，识别工具弱点扫描无法发现的问题。主要分析内容包括WebShell、注入、逻辑缺陷、上传绕过、输入输出校验绕过、数据篡改、功能绕过、异常错误以及其他专项内容。通过模拟真实的攻击场景，识别潜在的安全风险，提供修复建议，并协助进行漏洞修复。提高网站及业务系统的安全性。</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CF6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一年1次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D5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《渗透测试报告》</w:t>
            </w:r>
          </w:p>
        </w:tc>
      </w:tr>
      <w:tr w14:paraId="41880D89">
        <w:tblPrEx>
          <w:tblCellMar>
            <w:top w:w="0" w:type="dxa"/>
            <w:left w:w="108" w:type="dxa"/>
            <w:bottom w:w="0" w:type="dxa"/>
            <w:right w:w="108" w:type="dxa"/>
          </w:tblCellMar>
        </w:tblPrEx>
        <w:trPr>
          <w:trHeight w:val="4320"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4F3D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7</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324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风险评估</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C6D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信息系统技术评估</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1690">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息系统安全风险评估从风险管理角度，运用科学的方法和手段分析信息系统所面临的威胁及其存在的脆弱性，评估安全事件一旦发生可能造成的危害程度，提出有针对性的抵御威胁的防护对策和整改措施，防范和降低信息安全风险，使风险控制在能接受的范围内。主要包含信息系统资产，弱点/脆弱性、威胁和风险四个要素。包括：</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1.对信息系统资产进行识别，并对资产的价值进行赋值；</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2.对脆弱性进行识别，并对具体资产的脆弱性的严重程度赋值；</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3.对威胁进行识别，描述威胁的属性，并对威胁出现的频率赋值；</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4.根据威胁及威胁利用脆弱性的难易程度判断安全事件发生的可能性；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5.根据脆弱性的严重程度及安全事件所作用的资产的价值计算安全事件造成的损失；</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A10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3个系统</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22D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《风险评估报告》/年</w:t>
            </w:r>
          </w:p>
        </w:tc>
      </w:tr>
      <w:tr w14:paraId="176305C2">
        <w:tblPrEx>
          <w:tblCellMar>
            <w:top w:w="0" w:type="dxa"/>
            <w:left w:w="108" w:type="dxa"/>
            <w:bottom w:w="0" w:type="dxa"/>
            <w:right w:w="108" w:type="dxa"/>
          </w:tblCellMar>
        </w:tblPrEx>
        <w:trPr>
          <w:trHeight w:val="1380"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2EF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22F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C6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安全管理评估</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F52F">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要从以下几方面分析被评估信息系统安全管理状况：管理机构、管理制度、人员管理、系统建设管理和系统运维管理，为后续脆弱性分析及综合风险分析提供参考数据。安全管理评估可采用问询、调查问卷和现场观察等方式进行。</w:t>
            </w: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B087">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0FE5">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r>
      <w:tr w14:paraId="4DEE7254">
        <w:tblPrEx>
          <w:tblCellMar>
            <w:top w:w="0" w:type="dxa"/>
            <w:left w:w="108" w:type="dxa"/>
            <w:bottom w:w="0" w:type="dxa"/>
            <w:right w:w="108" w:type="dxa"/>
          </w:tblCellMar>
        </w:tblPrEx>
        <w:trPr>
          <w:trHeight w:val="1139"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50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25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网络安保服务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C1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重保服务</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87B4">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针对国家规定的法定节假日、重大会议、政治活动等其它具有广泛影响的活动，派遣高级安服人员，以现场或远程值守的方式提供网络安全保障服务，协助处理信息安全事件。包括前期重要业务的检查、安全扫描、网络安全加固等准备工作，确保在重要敏感时期的网络安全。</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550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按需</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37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《重保安全服务实施方案》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《重保安全服务实施报告》</w:t>
            </w:r>
          </w:p>
        </w:tc>
      </w:tr>
      <w:tr w14:paraId="6EFE1E20">
        <w:tblPrEx>
          <w:tblCellMar>
            <w:top w:w="0" w:type="dxa"/>
            <w:left w:w="108" w:type="dxa"/>
            <w:bottom w:w="0" w:type="dxa"/>
            <w:right w:w="108" w:type="dxa"/>
          </w:tblCellMar>
        </w:tblPrEx>
        <w:trPr>
          <w:trHeight w:val="1399" w:hRule="atLeast"/>
        </w:trPr>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932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9</w:t>
            </w: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345D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应急响应</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EC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应急预案</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98D1">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信息系统及其承载业务信息的重要性，以及业务特点，结合国家、地区和行业等信息安全政策和标准，协助用户制定应急预案，明确应急响应以及预防、预警机制，针对可能的安全事件编制规范的应急处理流程。</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64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一年1次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93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《网络安全应急预案》</w:t>
            </w:r>
          </w:p>
        </w:tc>
      </w:tr>
      <w:tr w14:paraId="03138AEC">
        <w:tblPrEx>
          <w:tblCellMar>
            <w:top w:w="0" w:type="dxa"/>
            <w:left w:w="108" w:type="dxa"/>
            <w:bottom w:w="0" w:type="dxa"/>
            <w:right w:w="108" w:type="dxa"/>
          </w:tblCellMar>
        </w:tblPrEx>
        <w:trPr>
          <w:trHeight w:val="343" w:hRule="atLeast"/>
        </w:trPr>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BCB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45E3F">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color w:val="000000"/>
                <w:sz w:val="24"/>
                <w:szCs w:val="24"/>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5D8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应急响应</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A3AB">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提供10人以上应急保障团队，团队人员中至少一名须具备CISP（注册信息安全专业人员）证书（响应文件中提供承诺函并加盖应供应商公章）。提供7*24小时响应服务，普通问题需2小时内解决，如需现场服务需派专业应急响应工程师</w:t>
            </w:r>
            <w:r>
              <w:rPr>
                <w:rFonts w:ascii="仿宋" w:hAnsi="仿宋" w:eastAsia="仿宋" w:cs="仿宋"/>
                <w:kern w:val="0"/>
                <w:sz w:val="24"/>
                <w:szCs w:val="24"/>
                <w:lang w:bidi="ar"/>
              </w:rPr>
              <w:t>0.5</w:t>
            </w:r>
            <w:r>
              <w:rPr>
                <w:rFonts w:hint="eastAsia" w:ascii="仿宋" w:hAnsi="仿宋" w:eastAsia="仿宋" w:cs="仿宋"/>
                <w:kern w:val="0"/>
                <w:sz w:val="24"/>
                <w:szCs w:val="24"/>
                <w:lang w:bidi="ar"/>
              </w:rPr>
              <w:t>小时内到</w:t>
            </w:r>
            <w:r>
              <w:rPr>
                <w:rFonts w:hint="eastAsia" w:ascii="仿宋" w:hAnsi="仿宋" w:eastAsia="仿宋" w:cs="仿宋"/>
                <w:kern w:val="0"/>
                <w:sz w:val="24"/>
                <w:szCs w:val="24"/>
                <w:lang w:val="en-US" w:eastAsia="zh-CN" w:bidi="ar"/>
              </w:rPr>
              <w:t>达</w:t>
            </w:r>
            <w:r>
              <w:rPr>
                <w:rFonts w:hint="eastAsia" w:ascii="仿宋" w:hAnsi="仿宋" w:eastAsia="仿宋" w:cs="仿宋"/>
                <w:kern w:val="0"/>
                <w:sz w:val="24"/>
                <w:szCs w:val="24"/>
                <w:lang w:bidi="ar"/>
              </w:rPr>
              <w:t>现场，2小时内无法解决的问题需在6小时内提出有效解决方案。（响应文件中提供承诺函并加盖响应供应商公章，格式自拟）。</w:t>
            </w:r>
          </w:p>
          <w:p w14:paraId="786B6B9B">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kern w:val="0"/>
                <w:sz w:val="24"/>
                <w:szCs w:val="24"/>
                <w:lang w:bidi="ar"/>
              </w:rPr>
            </w:pPr>
            <w:r>
              <w:rPr>
                <w:rFonts w:hint="eastAsia" w:ascii="仿宋" w:hAnsi="仿宋" w:eastAsia="仿宋" w:cs="仿宋"/>
                <w:kern w:val="0"/>
                <w:sz w:val="24"/>
                <w:szCs w:val="24"/>
                <w:lang w:bidi="ar"/>
              </w:rPr>
              <w:t>主要包括（不限）以下情况的应急响应：</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1、网络、安全、服务器、操作系统、数据库、虚拟化超融合软件等及所涉及到的物理环境、消防、精密空调、UPS等所有设备设施软硬件的故障处理及维护。</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2、勒索病毒事件应急响应：对染毒主机进行排查，对当前环境进行风险排除与主机加固，处置取证后提供专业完整的应急响应报告，协助解决因勒索病毒所造成的的重要业务瘫痪、重要数据被加密等情况，减少因勒索病毒所造成的巨大经济损失。</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3、数据泄露事件应急响应：对数据库操作和查询日志、服务器进程、服务器和网络日志、可疑文件等进行排查，并作应急处置，处置完成后对存在问题的系统或数据库提出点对点的整改加固方案，防止数据二次泄露。</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4、Web安全事件应急响应：对受影响系统进行全面威胁排查，Web漏洞特征分析，包括Sql注入特征、文件上传特征、命令执行特征、Windows/linux恶意命令攻击特征、框架漏洞特征、中间件特征等，协助修复漏洞以防同类安全事件再次发生，尽快使网站系统恢复正常运行，减少因安全事件造成的经济损失。</w:t>
            </w:r>
          </w:p>
        </w:tc>
        <w:tc>
          <w:tcPr>
            <w:tcW w:w="646" w:type="pct"/>
            <w:tcBorders>
              <w:top w:val="single" w:color="000000" w:sz="4" w:space="0"/>
              <w:left w:val="single" w:color="000000" w:sz="4" w:space="0"/>
              <w:bottom w:val="nil"/>
              <w:right w:val="single" w:color="000000" w:sz="4" w:space="0"/>
            </w:tcBorders>
            <w:shd w:val="clear" w:color="auto" w:fill="auto"/>
            <w:vAlign w:val="center"/>
          </w:tcPr>
          <w:p w14:paraId="1D80561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按需</w:t>
            </w:r>
          </w:p>
        </w:tc>
        <w:tc>
          <w:tcPr>
            <w:tcW w:w="573" w:type="pct"/>
            <w:tcBorders>
              <w:top w:val="single" w:color="000000" w:sz="4" w:space="0"/>
              <w:left w:val="single" w:color="000000" w:sz="4" w:space="0"/>
              <w:bottom w:val="nil"/>
              <w:right w:val="single" w:color="000000" w:sz="4" w:space="0"/>
            </w:tcBorders>
            <w:shd w:val="clear" w:color="auto" w:fill="auto"/>
            <w:vAlign w:val="center"/>
          </w:tcPr>
          <w:p w14:paraId="26DD33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《网络安全事件应急处置报告》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《网络维护报告》/每月</w:t>
            </w:r>
          </w:p>
        </w:tc>
      </w:tr>
      <w:tr w14:paraId="7DFBCBEE">
        <w:tblPrEx>
          <w:tblCellMar>
            <w:top w:w="0" w:type="dxa"/>
            <w:left w:w="108" w:type="dxa"/>
            <w:bottom w:w="0" w:type="dxa"/>
            <w:right w:w="108" w:type="dxa"/>
          </w:tblCellMar>
        </w:tblPrEx>
        <w:trPr>
          <w:trHeight w:val="5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5E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1</w:t>
            </w:r>
            <w:r>
              <w:rPr>
                <w:rFonts w:ascii="仿宋" w:hAnsi="仿宋" w:eastAsia="仿宋" w:cs="仿宋"/>
                <w:color w:val="auto"/>
                <w:kern w:val="0"/>
                <w:sz w:val="24"/>
                <w:szCs w:val="24"/>
                <w:lang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C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终端运维</w:t>
            </w:r>
            <w:r>
              <w:rPr>
                <w:rFonts w:hint="eastAsia" w:ascii="仿宋" w:hAnsi="仿宋" w:eastAsia="仿宋" w:cs="仿宋"/>
                <w:color w:val="auto"/>
                <w:kern w:val="0"/>
                <w:sz w:val="24"/>
                <w:szCs w:val="24"/>
                <w:lang w:bidi="ar"/>
              </w:rPr>
              <w:t>服务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D50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终端远程与运维一体化</w:t>
            </w:r>
            <w:r>
              <w:rPr>
                <w:rFonts w:hint="eastAsia" w:ascii="仿宋" w:hAnsi="仿宋" w:eastAsia="仿宋" w:cs="仿宋"/>
                <w:color w:val="auto"/>
                <w:kern w:val="0"/>
                <w:sz w:val="24"/>
                <w:szCs w:val="24"/>
                <w:lang w:bidi="ar"/>
              </w:rPr>
              <w:t>服务</w:t>
            </w:r>
            <w:r>
              <w:rPr>
                <w:rFonts w:hint="eastAsia" w:ascii="仿宋" w:hAnsi="仿宋" w:eastAsia="仿宋" w:cs="仿宋"/>
                <w:color w:val="auto"/>
                <w:kern w:val="0"/>
                <w:sz w:val="24"/>
                <w:szCs w:val="24"/>
                <w:lang w:val="en-US" w:eastAsia="zh-CN" w:bidi="ar"/>
              </w:rPr>
              <w:t>平台</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34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1、支持对终端cpu使用率过高、内存使用率过高、磁盘占用率过高等硬件性能故障进行智能监测，并提供自动修复方式。</w:t>
            </w:r>
          </w:p>
          <w:p w14:paraId="6E4682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2、支持对终端网络连接异常、IP地址配置错误、网络连接质量差等网络故障进行智能监测，并提供自动修复的方式。</w:t>
            </w:r>
          </w:p>
          <w:p w14:paraId="43A0D6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3、支持对终端超时长运行、异常进程、杀毒软件冲突等操作系统故障进行智能监测，并提供自动修复的方式。</w:t>
            </w:r>
          </w:p>
          <w:p w14:paraId="4DD0E5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4、支持对终端打印机连接异常、打印服务未启用、打印队列阻塞等打印故障进行智能监测，并提供自动修复的方式。</w:t>
            </w:r>
          </w:p>
          <w:p w14:paraId="1C461C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5、支持一键故障诊断，在客户端侧支持对本机进行一键故障诊断。</w:t>
            </w:r>
          </w:p>
          <w:p w14:paraId="243072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6、支持在运维工作台以卡片方式/列表方式展示终端信息，包括IP地址、MAC地址、操作系统、设备名称等信息</w:t>
            </w:r>
            <w:r>
              <w:rPr>
                <w:rFonts w:hint="eastAsia" w:ascii="仿宋" w:hAnsi="仿宋" w:eastAsia="仿宋" w:cs="仿宋"/>
                <w:color w:val="000000"/>
                <w:kern w:val="0"/>
                <w:sz w:val="24"/>
                <w:szCs w:val="24"/>
                <w:lang w:eastAsia="zh-CN" w:bidi="ar"/>
              </w:rPr>
              <w:t>。</w:t>
            </w:r>
          </w:p>
          <w:p w14:paraId="672AFF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7、支持在运维工作台卡片终端上直接对终端进行远程控制、IP地址更改、打印队列清理、计算机名更改等操作。</w:t>
            </w:r>
          </w:p>
          <w:p w14:paraId="08DE74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8、产品支持重启、关机、卸载客户端等批量操作；产品需支持在任一客户端直接登录内置运维工作台，在脱离浏览器环境下进行运维管理工作。</w:t>
            </w:r>
          </w:p>
          <w:p w14:paraId="47BC46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9、提供健康监护功能，运维控制台提供全局健康监控状态评估，展示全局健康情况；产品的远程管理功能，管理员支持限制远程控制的权限，包括是否允许强制查看、控制、是否允许文件传输等。</w:t>
            </w:r>
          </w:p>
          <w:p w14:paraId="02E6D7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支持对终端的进程、服务、开机/关机/重启进行远程管理；支持远程查看终端资源使用状态，显示计算机CPU使用率、内存占用率、磁盘读写、网速、磁盘占用情况等信息；支持开启远程操作审计功能，能够对远程操作进行屏幕录制，并且可以自定义指定管理员在指定工作日和时间段的远程操作进行录屏。</w:t>
            </w:r>
          </w:p>
          <w:p w14:paraId="1B82E9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11、支持基于终端行为对终端进行智能分组，实现基于终端业务属性进行分类，包括安装的软件、本地IP、内存大小、硬盘大小、出厂日期、故障次数、故障项目、操作系统、注册信息等。</w:t>
            </w:r>
          </w:p>
          <w:p w14:paraId="119410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12、终端必须支持windows、MacOS、国产操作系统，移动端需支持安卓的移动设备。</w:t>
            </w:r>
          </w:p>
          <w:p w14:paraId="62427B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13、支持基于终端查看终端详细故障记录，以及历史故障记录；同时支持按故障类型展示故障终端数量并在运维工作台卡片终端上展示设备故障信息，并可通过颜色不同区分设备故障状态。</w:t>
            </w:r>
          </w:p>
          <w:p w14:paraId="6999AB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具备远程管理功能，管理员可通过管理控制台和客户端方式进行远程控制，支持远程查看、控制、文件传输、重启等，管理员支持限制远程控制的权限，包括是否允许强制查看、控制、是否允许文件传输等。支持双向穿透NAT或VPN的远程屏幕控制。远程管理功能，需要支持windows、国产化、MacOS不同设备间互相远程。</w:t>
            </w:r>
          </w:p>
          <w:p w14:paraId="6BD620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支持基于终端行为对终端进行智能分组，实现基于终端业务属性进行分类，包括安装的软件、本地IP、内存大小、硬盘大小、出厂日期、故障次数、故障项目、操作系统、注册信息等。需支持统一管理计算机背景图片，包括，桌面背景图片、屏幕保护背景图片、锁屏壁纸、开机背景图片等</w:t>
            </w:r>
          </w:p>
          <w:p w14:paraId="5B75CB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产品需支持终端节能管理，支持统计终端能耗和浪费电力情况，并采用电费报表的形式向管理员展现，同时支持终端节能控制，协助管理员自动完成非工作时段、闲置时段终端的节能处置，可自定义工作时间和非工作时间节点，同时在无操作状态可分时控制终端设备进入休眠或关机状态，并可在控制前提供弹窗提示。（以上13-16点，</w:t>
            </w:r>
            <w:r>
              <w:rPr>
                <w:rFonts w:hint="eastAsia" w:ascii="仿宋" w:hAnsi="仿宋" w:eastAsia="仿宋" w:cs="仿宋"/>
                <w:color w:val="000000"/>
                <w:kern w:val="0"/>
                <w:sz w:val="24"/>
                <w:szCs w:val="24"/>
                <w:lang w:val="en-US" w:eastAsia="zh-CN" w:bidi="ar"/>
              </w:rPr>
              <w:t>成交</w:t>
            </w:r>
            <w:r>
              <w:rPr>
                <w:rFonts w:hint="eastAsia" w:ascii="仿宋" w:hAnsi="仿宋" w:eastAsia="仿宋" w:cs="仿宋"/>
                <w:color w:val="000000"/>
                <w:kern w:val="0"/>
                <w:sz w:val="24"/>
                <w:szCs w:val="24"/>
                <w:lang w:bidi="ar"/>
              </w:rPr>
              <w:t>响应供应商</w:t>
            </w:r>
            <w:r>
              <w:rPr>
                <w:rFonts w:hint="eastAsia" w:ascii="仿宋" w:hAnsi="仿宋" w:eastAsia="仿宋" w:cs="仿宋"/>
                <w:color w:val="000000"/>
                <w:kern w:val="0"/>
                <w:sz w:val="24"/>
                <w:szCs w:val="24"/>
                <w:lang w:val="en-US" w:eastAsia="zh-CN" w:bidi="ar"/>
              </w:rPr>
              <w:t>在</w:t>
            </w:r>
            <w:r>
              <w:rPr>
                <w:rFonts w:hint="eastAsia" w:ascii="仿宋" w:hAnsi="仿宋" w:eastAsia="仿宋" w:cs="仿宋"/>
                <w:color w:val="000000"/>
                <w:kern w:val="0"/>
                <w:sz w:val="24"/>
                <w:szCs w:val="24"/>
                <w:lang w:bidi="ar"/>
              </w:rPr>
              <w:t>签订合同前需</w:t>
            </w:r>
            <w:r>
              <w:rPr>
                <w:rFonts w:hint="eastAsia" w:ascii="仿宋" w:hAnsi="仿宋" w:eastAsia="仿宋" w:cs="仿宋"/>
                <w:color w:val="000000"/>
                <w:kern w:val="0"/>
                <w:sz w:val="24"/>
                <w:szCs w:val="24"/>
                <w:lang w:val="en-US" w:eastAsia="zh-CN" w:bidi="ar"/>
              </w:rPr>
              <w:t>进行</w:t>
            </w:r>
            <w:r>
              <w:rPr>
                <w:rFonts w:hint="eastAsia" w:ascii="仿宋" w:hAnsi="仿宋" w:eastAsia="仿宋" w:cs="仿宋"/>
                <w:color w:val="000000"/>
                <w:kern w:val="0"/>
                <w:sz w:val="24"/>
                <w:szCs w:val="24"/>
                <w:lang w:bidi="ar"/>
              </w:rPr>
              <w:t>产品功能现场验证，功能不达标作废标处理）</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EE0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按需</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5C5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lang w:bidi="ar"/>
              </w:rPr>
              <w:t>《巡检报告》/月</w:t>
            </w:r>
          </w:p>
        </w:tc>
      </w:tr>
      <w:tr w14:paraId="68D044D0">
        <w:tblPrEx>
          <w:tblCellMar>
            <w:top w:w="0" w:type="dxa"/>
            <w:left w:w="108" w:type="dxa"/>
            <w:bottom w:w="0" w:type="dxa"/>
            <w:right w:w="108" w:type="dxa"/>
          </w:tblCellMar>
        </w:tblPrEx>
        <w:trPr>
          <w:trHeight w:val="1701"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C93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11</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2D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安全培训</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394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安全意识培训</w:t>
            </w:r>
          </w:p>
        </w:tc>
        <w:tc>
          <w:tcPr>
            <w:tcW w:w="2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A889">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面向单位全员开展专业的网络与信息安全意识培训，提高受众个人隐私保护、常规攻击防护、信息安全管理等能力，增强个人网络安全防护意识，规避网络攻击风险。</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1C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一年1次</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D3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《安全意识培训PPT》</w:t>
            </w:r>
          </w:p>
        </w:tc>
      </w:tr>
    </w:tbl>
    <w:p w14:paraId="5D806550">
      <w:pPr>
        <w:spacing w:line="360" w:lineRule="auto"/>
        <w:ind w:firstLine="542" w:firstLineChars="200"/>
        <w:jc w:val="left"/>
        <w:rPr>
          <w:rFonts w:ascii="仿宋_GB2312" w:hAnsi="仿宋_GB2312" w:eastAsia="仿宋_GB2312" w:cs="仿宋_GB2312"/>
          <w:b/>
          <w:bCs/>
          <w:sz w:val="27"/>
          <w:szCs w:val="27"/>
        </w:rPr>
      </w:pPr>
      <w:r>
        <w:rPr>
          <w:rFonts w:hint="eastAsia" w:ascii="仿宋_GB2312" w:hAnsi="仿宋_GB2312" w:eastAsia="仿宋_GB2312" w:cs="仿宋_GB2312"/>
          <w:b/>
          <w:bCs/>
          <w:sz w:val="27"/>
          <w:szCs w:val="27"/>
        </w:rPr>
        <w:br w:type="page"/>
      </w:r>
      <w:r>
        <w:rPr>
          <w:rFonts w:hint="eastAsia" w:ascii="仿宋" w:hAnsi="仿宋" w:eastAsia="仿宋" w:cs="仿宋"/>
          <w:color w:val="000000"/>
          <w:kern w:val="0"/>
          <w:sz w:val="27"/>
          <w:szCs w:val="27"/>
        </w:rPr>
        <w:t>（</w:t>
      </w:r>
      <w:r>
        <w:rPr>
          <w:rFonts w:hint="eastAsia" w:ascii="仿宋" w:hAnsi="仿宋" w:eastAsia="仿宋" w:cs="仿宋"/>
          <w:color w:val="000000"/>
          <w:kern w:val="0"/>
          <w:sz w:val="27"/>
          <w:szCs w:val="27"/>
          <w:lang w:val="en-US" w:eastAsia="zh-CN"/>
        </w:rPr>
        <w:t>六</w:t>
      </w:r>
      <w:r>
        <w:rPr>
          <w:rFonts w:hint="eastAsia" w:ascii="仿宋" w:hAnsi="仿宋" w:eastAsia="仿宋" w:cs="仿宋"/>
          <w:color w:val="000000"/>
          <w:kern w:val="0"/>
          <w:sz w:val="27"/>
          <w:szCs w:val="27"/>
        </w:rPr>
        <w:t>）网络安全设备续保服务清单</w:t>
      </w:r>
    </w:p>
    <w:tbl>
      <w:tblPr>
        <w:tblStyle w:val="13"/>
        <w:tblW w:w="4996" w:type="pct"/>
        <w:tblInd w:w="0" w:type="dxa"/>
        <w:tblLayout w:type="fixed"/>
        <w:tblCellMar>
          <w:top w:w="0" w:type="dxa"/>
          <w:left w:w="108" w:type="dxa"/>
          <w:bottom w:w="0" w:type="dxa"/>
          <w:right w:w="108" w:type="dxa"/>
        </w:tblCellMar>
      </w:tblPr>
      <w:tblGrid>
        <w:gridCol w:w="670"/>
        <w:gridCol w:w="2307"/>
        <w:gridCol w:w="4776"/>
        <w:gridCol w:w="670"/>
        <w:gridCol w:w="858"/>
      </w:tblGrid>
      <w:tr w14:paraId="1135B263">
        <w:tblPrEx>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77D945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序号</w:t>
            </w:r>
          </w:p>
        </w:tc>
        <w:tc>
          <w:tcPr>
            <w:tcW w:w="1242"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0985CB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设备名称</w:t>
            </w:r>
          </w:p>
        </w:tc>
        <w:tc>
          <w:tcPr>
            <w:tcW w:w="2572"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0A7AD2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续保</w:t>
            </w:r>
          </w:p>
        </w:tc>
        <w:tc>
          <w:tcPr>
            <w:tcW w:w="360"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0D04FA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单位</w:t>
            </w:r>
          </w:p>
        </w:tc>
        <w:tc>
          <w:tcPr>
            <w:tcW w:w="462" w:type="pct"/>
            <w:tcBorders>
              <w:top w:val="single" w:color="000000" w:sz="4" w:space="0"/>
              <w:left w:val="single" w:color="000000" w:sz="4" w:space="0"/>
              <w:bottom w:val="single" w:color="000000" w:sz="4" w:space="0"/>
              <w:right w:val="single" w:color="000000" w:sz="4" w:space="0"/>
            </w:tcBorders>
            <w:shd w:val="clear" w:color="auto" w:fill="DFE0E5"/>
            <w:vAlign w:val="center"/>
          </w:tcPr>
          <w:p w14:paraId="54B343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数量</w:t>
            </w:r>
          </w:p>
        </w:tc>
      </w:tr>
      <w:tr w14:paraId="7D9896D2">
        <w:tblPrEx>
          <w:tblCellMar>
            <w:top w:w="0" w:type="dxa"/>
            <w:left w:w="108" w:type="dxa"/>
            <w:bottom w:w="0" w:type="dxa"/>
            <w:right w:w="108" w:type="dxa"/>
          </w:tblCellMar>
        </w:tblPrEx>
        <w:trPr>
          <w:trHeight w:val="762"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C3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94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安恒应用防火墙WAF-150AG</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49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698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0D8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132A41F">
        <w:tblPrEx>
          <w:tblCellMar>
            <w:top w:w="0" w:type="dxa"/>
            <w:left w:w="108" w:type="dxa"/>
            <w:bottom w:w="0" w:type="dxa"/>
            <w:right w:w="108" w:type="dxa"/>
          </w:tblCellMar>
        </w:tblPrEx>
        <w:trPr>
          <w:trHeight w:val="67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BD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9A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安恒网页防篡改DAS-WPT</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C5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软件特征库升级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2C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套</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B6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7544A7B">
        <w:tblPrEx>
          <w:tblCellMar>
            <w:top w:w="0" w:type="dxa"/>
            <w:left w:w="108" w:type="dxa"/>
            <w:bottom w:w="0" w:type="dxa"/>
            <w:right w:w="108" w:type="dxa"/>
          </w:tblCellMar>
        </w:tblPrEx>
        <w:trPr>
          <w:trHeight w:val="73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44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3</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3A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安恒防火墙DAS-NGFW660</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EC4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70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72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A4BEDA6">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FC5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4</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AE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安恒堡垒机DAS-USM150</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38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52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48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1938FBF">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06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5</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8D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安恒防火墙DAS-NGFW660</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8A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93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BE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732B8403">
        <w:tblPrEx>
          <w:tblCellMar>
            <w:top w:w="0" w:type="dxa"/>
            <w:left w:w="108" w:type="dxa"/>
            <w:bottom w:w="0" w:type="dxa"/>
            <w:right w:w="108" w:type="dxa"/>
          </w:tblCellMar>
        </w:tblPrEx>
        <w:trPr>
          <w:trHeight w:val="79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A8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6</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52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安恒防火墙DAS-NGFW660</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4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911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77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57416022">
        <w:tblPrEx>
          <w:tblCellMar>
            <w:top w:w="0" w:type="dxa"/>
            <w:left w:w="108" w:type="dxa"/>
            <w:bottom w:w="0" w:type="dxa"/>
            <w:right w:w="108" w:type="dxa"/>
          </w:tblCellMar>
        </w:tblPrEx>
        <w:trPr>
          <w:trHeight w:val="61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66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7</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64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安恒攻击预警平台DAS-APT-200</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C4B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01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19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6D9AB7DB">
        <w:tblPrEx>
          <w:tblCellMar>
            <w:top w:w="0" w:type="dxa"/>
            <w:left w:w="108" w:type="dxa"/>
            <w:bottom w:w="0" w:type="dxa"/>
            <w:right w:w="108" w:type="dxa"/>
          </w:tblCellMar>
        </w:tblPrEx>
        <w:trPr>
          <w:trHeight w:val="66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37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8</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8B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安恒EDR管理中心</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91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软件特征库升级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EE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24F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EDB85AF">
        <w:tblPrEx>
          <w:tblCellMar>
            <w:top w:w="0" w:type="dxa"/>
            <w:left w:w="108" w:type="dxa"/>
            <w:bottom w:w="0" w:type="dxa"/>
            <w:right w:w="108" w:type="dxa"/>
          </w:tblCellMar>
        </w:tblPrEx>
        <w:trPr>
          <w:trHeight w:val="49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D9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9</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C52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安恒EDR服务器端</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9D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软件特征库升级</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9F3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个</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5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r>
              <w:rPr>
                <w:rFonts w:ascii="仿宋" w:hAnsi="仿宋" w:eastAsia="仿宋" w:cs="仿宋"/>
                <w:kern w:val="0"/>
                <w:sz w:val="24"/>
                <w:szCs w:val="24"/>
                <w:lang w:bidi="ar"/>
              </w:rPr>
              <w:t>5</w:t>
            </w:r>
          </w:p>
        </w:tc>
      </w:tr>
      <w:tr w14:paraId="0DC3D9D3">
        <w:tblPrEx>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35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10</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EB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天融信网闸TR-72104</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43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硬件质保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FB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C0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37865534">
        <w:tblPrEx>
          <w:tblCellMar>
            <w:top w:w="0" w:type="dxa"/>
            <w:left w:w="108" w:type="dxa"/>
            <w:bottom w:w="0" w:type="dxa"/>
            <w:right w:w="108" w:type="dxa"/>
          </w:tblCellMar>
        </w:tblPrEx>
        <w:trPr>
          <w:trHeight w:val="67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89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11</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E0F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天融信数据库审计系统TADB-A3106</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C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硬件质保</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40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512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2DF356E4">
        <w:tblPrEx>
          <w:tblCellMar>
            <w:top w:w="0" w:type="dxa"/>
            <w:left w:w="108" w:type="dxa"/>
            <w:bottom w:w="0" w:type="dxa"/>
            <w:right w:w="108" w:type="dxa"/>
          </w:tblCellMar>
        </w:tblPrEx>
        <w:trPr>
          <w:trHeight w:val="60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0F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12</w:t>
            </w:r>
          </w:p>
        </w:tc>
        <w:tc>
          <w:tcPr>
            <w:tcW w:w="1242" w:type="pct"/>
            <w:tcBorders>
              <w:top w:val="single" w:color="000000" w:sz="4" w:space="0"/>
              <w:left w:val="single" w:color="000000" w:sz="4" w:space="0"/>
              <w:bottom w:val="nil"/>
              <w:right w:val="single" w:color="000000" w:sz="4" w:space="0"/>
            </w:tcBorders>
            <w:shd w:val="clear" w:color="auto" w:fill="auto"/>
            <w:vAlign w:val="center"/>
          </w:tcPr>
          <w:p w14:paraId="47CB72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盈高安全准入ASM6403-JX</w:t>
            </w:r>
          </w:p>
        </w:tc>
        <w:tc>
          <w:tcPr>
            <w:tcW w:w="2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BF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硬件质保</w:t>
            </w:r>
          </w:p>
        </w:tc>
        <w:tc>
          <w:tcPr>
            <w:tcW w:w="360" w:type="pct"/>
            <w:tcBorders>
              <w:top w:val="single" w:color="000000" w:sz="4" w:space="0"/>
              <w:left w:val="single" w:color="000000" w:sz="4" w:space="0"/>
              <w:bottom w:val="single" w:color="auto" w:sz="4" w:space="0"/>
              <w:right w:val="single" w:color="000000" w:sz="4" w:space="0"/>
            </w:tcBorders>
            <w:shd w:val="clear" w:color="auto" w:fill="auto"/>
            <w:vAlign w:val="center"/>
          </w:tcPr>
          <w:p w14:paraId="2141F1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000000" w:sz="4" w:space="0"/>
              <w:left w:val="single" w:color="000000" w:sz="4" w:space="0"/>
              <w:bottom w:val="single" w:color="auto" w:sz="4" w:space="0"/>
              <w:right w:val="single" w:color="000000" w:sz="4" w:space="0"/>
            </w:tcBorders>
            <w:shd w:val="clear" w:color="auto" w:fill="auto"/>
            <w:vAlign w:val="center"/>
          </w:tcPr>
          <w:p w14:paraId="7E6B03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570774E0">
        <w:tblPrEx>
          <w:tblCellMar>
            <w:top w:w="0" w:type="dxa"/>
            <w:left w:w="108" w:type="dxa"/>
            <w:bottom w:w="0" w:type="dxa"/>
            <w:right w:w="108" w:type="dxa"/>
          </w:tblCellMar>
        </w:tblPrEx>
        <w:trPr>
          <w:trHeight w:val="702"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42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3</w:t>
            </w:r>
          </w:p>
        </w:tc>
        <w:tc>
          <w:tcPr>
            <w:tcW w:w="1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E83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深信服超融合</w:t>
            </w:r>
            <w:r>
              <w:rPr>
                <w:rFonts w:hint="eastAsia" w:ascii="仿宋" w:hAnsi="仿宋" w:eastAsia="仿宋" w:cs="仿宋"/>
                <w:kern w:val="0"/>
                <w:sz w:val="24"/>
                <w:szCs w:val="24"/>
                <w:lang w:bidi="ar"/>
              </w:rPr>
              <w:br w:type="textWrapping"/>
            </w:r>
            <w:r>
              <w:rPr>
                <w:rFonts w:hint="eastAsia" w:ascii="仿宋" w:hAnsi="仿宋" w:eastAsia="仿宋" w:cs="仿宋"/>
                <w:kern w:val="0"/>
                <w:sz w:val="24"/>
                <w:szCs w:val="24"/>
                <w:lang w:bidi="ar"/>
              </w:rPr>
              <w:t>（浪潮NF5270M4）</w:t>
            </w:r>
          </w:p>
        </w:tc>
        <w:tc>
          <w:tcPr>
            <w:tcW w:w="2572" w:type="pct"/>
            <w:tcBorders>
              <w:top w:val="single" w:color="000000" w:sz="4" w:space="0"/>
              <w:left w:val="single" w:color="000000" w:sz="4" w:space="0"/>
              <w:bottom w:val="single" w:color="000000" w:sz="4" w:space="0"/>
              <w:right w:val="single" w:color="auto" w:sz="4" w:space="0"/>
            </w:tcBorders>
            <w:shd w:val="clear" w:color="auto" w:fill="auto"/>
            <w:vAlign w:val="center"/>
          </w:tcPr>
          <w:p w14:paraId="706E6E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深信服计算服务器虚拟化软件V6.0 （6套）</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522A1F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4D8C88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5A4E12C6">
        <w:tblPrEx>
          <w:tblCellMar>
            <w:top w:w="0" w:type="dxa"/>
            <w:left w:w="108" w:type="dxa"/>
            <w:bottom w:w="0" w:type="dxa"/>
            <w:right w:w="108" w:type="dxa"/>
          </w:tblCellMar>
        </w:tblPrEx>
        <w:trPr>
          <w:trHeight w:val="84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9427">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3BEA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FF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深信服网络虚拟化软件V6.0 （6套）</w:t>
            </w:r>
          </w:p>
        </w:tc>
        <w:tc>
          <w:tcPr>
            <w:tcW w:w="360" w:type="pct"/>
            <w:tcBorders>
              <w:top w:val="single" w:color="auto" w:sz="4" w:space="0"/>
              <w:left w:val="single" w:color="000000" w:sz="4" w:space="0"/>
              <w:bottom w:val="nil"/>
              <w:right w:val="single" w:color="000000" w:sz="4" w:space="0"/>
            </w:tcBorders>
            <w:shd w:val="clear" w:color="auto" w:fill="auto"/>
            <w:vAlign w:val="center"/>
          </w:tcPr>
          <w:p w14:paraId="099801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auto" w:sz="4" w:space="0"/>
              <w:left w:val="single" w:color="000000" w:sz="4" w:space="0"/>
              <w:bottom w:val="nil"/>
              <w:right w:val="single" w:color="000000" w:sz="4" w:space="0"/>
            </w:tcBorders>
            <w:shd w:val="clear" w:color="auto" w:fill="auto"/>
            <w:vAlign w:val="center"/>
          </w:tcPr>
          <w:p w14:paraId="61A67E9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230EC8A9">
        <w:tblPrEx>
          <w:tblCellMar>
            <w:top w:w="0" w:type="dxa"/>
            <w:left w:w="108" w:type="dxa"/>
            <w:bottom w:w="0" w:type="dxa"/>
            <w:right w:w="108" w:type="dxa"/>
          </w:tblCellMar>
        </w:tblPrEx>
        <w:trPr>
          <w:trHeight w:val="66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7874">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5F61">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A00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深信服虚拟存储软件V3.0（6套）</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6B93B5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4BEBCD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7F16BC55">
        <w:tblPrEx>
          <w:tblCellMar>
            <w:top w:w="0" w:type="dxa"/>
            <w:left w:w="108" w:type="dxa"/>
            <w:bottom w:w="0" w:type="dxa"/>
            <w:right w:w="108" w:type="dxa"/>
          </w:tblCellMar>
        </w:tblPrEx>
        <w:trPr>
          <w:trHeight w:val="979"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F868">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26D5">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F24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深信服持续数据保护授权软件V6.0 （5个）</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2C2792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75542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52FE5845">
        <w:tblPrEx>
          <w:tblCellMar>
            <w:top w:w="0" w:type="dxa"/>
            <w:left w:w="108" w:type="dxa"/>
            <w:bottom w:w="0" w:type="dxa"/>
            <w:right w:w="108" w:type="dxa"/>
          </w:tblCellMar>
        </w:tblPrEx>
        <w:trPr>
          <w:trHeight w:val="96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B4BF">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BADBB">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8E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vAF-200 （软件升级、ips＋web防护、僵尸网络识别库、实时漏洞）</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5A387C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1DA9E1F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1EABE006">
        <w:tblPrEx>
          <w:tblCellMar>
            <w:top w:w="0" w:type="dxa"/>
            <w:left w:w="108" w:type="dxa"/>
            <w:bottom w:w="0" w:type="dxa"/>
            <w:right w:w="108" w:type="dxa"/>
          </w:tblCellMar>
        </w:tblPrEx>
        <w:trPr>
          <w:trHeight w:val="462" w:hRule="atLeast"/>
        </w:trPr>
        <w:tc>
          <w:tcPr>
            <w:tcW w:w="360" w:type="pct"/>
            <w:vMerge w:val="restart"/>
            <w:tcBorders>
              <w:top w:val="nil"/>
              <w:left w:val="single" w:color="000000" w:sz="4" w:space="0"/>
              <w:bottom w:val="single" w:color="000000" w:sz="4" w:space="0"/>
              <w:right w:val="single" w:color="000000" w:sz="4" w:space="0"/>
            </w:tcBorders>
            <w:shd w:val="clear" w:color="auto" w:fill="auto"/>
            <w:noWrap/>
            <w:vAlign w:val="center"/>
          </w:tcPr>
          <w:p w14:paraId="765DEE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4</w:t>
            </w:r>
          </w:p>
        </w:tc>
        <w:tc>
          <w:tcPr>
            <w:tcW w:w="1242" w:type="pct"/>
            <w:vMerge w:val="restart"/>
            <w:tcBorders>
              <w:top w:val="nil"/>
              <w:left w:val="single" w:color="000000" w:sz="4" w:space="0"/>
              <w:bottom w:val="single" w:color="000000" w:sz="4" w:space="0"/>
              <w:right w:val="single" w:color="000000" w:sz="4" w:space="0"/>
            </w:tcBorders>
            <w:shd w:val="clear" w:color="auto" w:fill="auto"/>
            <w:vAlign w:val="center"/>
          </w:tcPr>
          <w:p w14:paraId="1607A0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深信服超融合（aServer-R-2100）</w:t>
            </w: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AF5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aServer-R-2100 （3台）</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32719C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25D367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9750D18">
        <w:tblPrEx>
          <w:tblCellMar>
            <w:top w:w="0" w:type="dxa"/>
            <w:left w:w="108" w:type="dxa"/>
            <w:bottom w:w="0" w:type="dxa"/>
            <w:right w:w="108" w:type="dxa"/>
          </w:tblCellMar>
        </w:tblPrEx>
        <w:trPr>
          <w:trHeight w:val="642" w:hRule="atLeast"/>
        </w:trPr>
        <w:tc>
          <w:tcPr>
            <w:tcW w:w="36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6AFAE7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nil"/>
              <w:left w:val="single" w:color="000000" w:sz="4" w:space="0"/>
              <w:bottom w:val="single" w:color="000000" w:sz="4" w:space="0"/>
              <w:right w:val="single" w:color="000000" w:sz="4" w:space="0"/>
            </w:tcBorders>
            <w:shd w:val="clear" w:color="auto" w:fill="auto"/>
            <w:vAlign w:val="center"/>
          </w:tcPr>
          <w:p w14:paraId="0886644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57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深信服计算服务器虚拟化软件V6.0（6套）</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3183780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5BBF7A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67CF7CCE">
        <w:tblPrEx>
          <w:tblCellMar>
            <w:top w:w="0" w:type="dxa"/>
            <w:left w:w="108" w:type="dxa"/>
            <w:bottom w:w="0" w:type="dxa"/>
            <w:right w:w="108" w:type="dxa"/>
          </w:tblCellMar>
        </w:tblPrEx>
        <w:trPr>
          <w:trHeight w:val="720" w:hRule="atLeast"/>
        </w:trPr>
        <w:tc>
          <w:tcPr>
            <w:tcW w:w="36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2BA9FAA">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nil"/>
              <w:left w:val="single" w:color="000000" w:sz="4" w:space="0"/>
              <w:bottom w:val="single" w:color="000000" w:sz="4" w:space="0"/>
              <w:right w:val="single" w:color="000000" w:sz="4" w:space="0"/>
            </w:tcBorders>
            <w:shd w:val="clear" w:color="auto" w:fill="auto"/>
            <w:vAlign w:val="center"/>
          </w:tcPr>
          <w:p w14:paraId="51D9CF03">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66B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深信服网络虚拟化软件V6.0（6套）</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4CDC91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49987E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752F0498">
        <w:tblPrEx>
          <w:tblCellMar>
            <w:top w:w="0" w:type="dxa"/>
            <w:left w:w="108" w:type="dxa"/>
            <w:bottom w:w="0" w:type="dxa"/>
            <w:right w:w="108" w:type="dxa"/>
          </w:tblCellMar>
        </w:tblPrEx>
        <w:trPr>
          <w:trHeight w:val="582" w:hRule="atLeast"/>
        </w:trPr>
        <w:tc>
          <w:tcPr>
            <w:tcW w:w="36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E35CD80">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nil"/>
              <w:left w:val="single" w:color="000000" w:sz="4" w:space="0"/>
              <w:bottom w:val="single" w:color="000000" w:sz="4" w:space="0"/>
              <w:right w:val="single" w:color="000000" w:sz="4" w:space="0"/>
            </w:tcBorders>
            <w:shd w:val="clear" w:color="auto" w:fill="auto"/>
            <w:vAlign w:val="center"/>
          </w:tcPr>
          <w:p w14:paraId="7DCD5AB6">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992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深信服虚拟存储软件V3.0（6套）</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1802D8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45304A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5ED06F92">
        <w:tblPrEx>
          <w:tblCellMar>
            <w:top w:w="0" w:type="dxa"/>
            <w:left w:w="108" w:type="dxa"/>
            <w:bottom w:w="0" w:type="dxa"/>
            <w:right w:w="108" w:type="dxa"/>
          </w:tblCellMar>
        </w:tblPrEx>
        <w:trPr>
          <w:trHeight w:val="799" w:hRule="atLeast"/>
        </w:trPr>
        <w:tc>
          <w:tcPr>
            <w:tcW w:w="360"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F4D26DD">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nil"/>
              <w:left w:val="single" w:color="000000" w:sz="4" w:space="0"/>
              <w:bottom w:val="single" w:color="000000" w:sz="4" w:space="0"/>
              <w:right w:val="single" w:color="000000" w:sz="4" w:space="0"/>
            </w:tcBorders>
            <w:shd w:val="clear" w:color="auto" w:fill="auto"/>
            <w:vAlign w:val="center"/>
          </w:tcPr>
          <w:p w14:paraId="377CAD42">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C03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深信服持续数据保护授权软件V6.0（5个）</w:t>
            </w:r>
          </w:p>
        </w:tc>
        <w:tc>
          <w:tcPr>
            <w:tcW w:w="360" w:type="pct"/>
            <w:tcBorders>
              <w:top w:val="single" w:color="000000" w:sz="4" w:space="0"/>
              <w:left w:val="single" w:color="000000" w:sz="4" w:space="0"/>
              <w:bottom w:val="nil"/>
              <w:right w:val="single" w:color="000000" w:sz="4" w:space="0"/>
            </w:tcBorders>
            <w:shd w:val="clear" w:color="auto" w:fill="auto"/>
            <w:vAlign w:val="center"/>
          </w:tcPr>
          <w:p w14:paraId="413C9CE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nil"/>
              <w:right w:val="single" w:color="000000" w:sz="4" w:space="0"/>
            </w:tcBorders>
            <w:shd w:val="clear" w:color="auto" w:fill="auto"/>
            <w:vAlign w:val="center"/>
          </w:tcPr>
          <w:p w14:paraId="5A90A4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291BD6AB">
        <w:tblPrEx>
          <w:tblCellMar>
            <w:top w:w="0" w:type="dxa"/>
            <w:left w:w="108" w:type="dxa"/>
            <w:bottom w:w="0" w:type="dxa"/>
            <w:right w:w="108" w:type="dxa"/>
          </w:tblCellMar>
        </w:tblPrEx>
        <w:trPr>
          <w:trHeight w:val="1302" w:hRule="atLeast"/>
        </w:trPr>
        <w:tc>
          <w:tcPr>
            <w:tcW w:w="360" w:type="pct"/>
            <w:vMerge w:val="continue"/>
            <w:tcBorders>
              <w:top w:val="nil"/>
              <w:left w:val="single" w:color="000000" w:sz="4" w:space="0"/>
              <w:bottom w:val="single" w:color="auto" w:sz="4" w:space="0"/>
              <w:right w:val="single" w:color="000000" w:sz="4" w:space="0"/>
            </w:tcBorders>
            <w:shd w:val="clear" w:color="auto" w:fill="auto"/>
            <w:noWrap/>
            <w:vAlign w:val="center"/>
          </w:tcPr>
          <w:p w14:paraId="4C6B0170">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1242" w:type="pct"/>
            <w:vMerge w:val="continue"/>
            <w:tcBorders>
              <w:top w:val="nil"/>
              <w:left w:val="single" w:color="000000" w:sz="4" w:space="0"/>
              <w:bottom w:val="single" w:color="auto" w:sz="4" w:space="0"/>
              <w:right w:val="single" w:color="000000" w:sz="4" w:space="0"/>
            </w:tcBorders>
            <w:shd w:val="clear" w:color="auto" w:fill="auto"/>
            <w:vAlign w:val="center"/>
          </w:tcPr>
          <w:p w14:paraId="43700477">
            <w:pPr>
              <w:keepNext w:val="0"/>
              <w:keepLines w:val="0"/>
              <w:pageBreakBefore w:val="0"/>
              <w:kinsoku/>
              <w:wordWrap/>
              <w:overflowPunct/>
              <w:topLinePunct w:val="0"/>
              <w:autoSpaceDE/>
              <w:autoSpaceDN/>
              <w:bidi w:val="0"/>
              <w:adjustRightInd/>
              <w:snapToGrid/>
              <w:spacing w:line="400" w:lineRule="exact"/>
              <w:jc w:val="center"/>
              <w:rPr>
                <w:rFonts w:ascii="仿宋" w:hAnsi="仿宋" w:eastAsia="仿宋" w:cs="仿宋"/>
                <w:sz w:val="24"/>
                <w:szCs w:val="24"/>
              </w:rPr>
            </w:pPr>
          </w:p>
        </w:tc>
        <w:tc>
          <w:tcPr>
            <w:tcW w:w="2572" w:type="pct"/>
            <w:tcBorders>
              <w:top w:val="single" w:color="000000" w:sz="4" w:space="0"/>
              <w:left w:val="single" w:color="000000" w:sz="4" w:space="0"/>
              <w:bottom w:val="single" w:color="auto" w:sz="4" w:space="0"/>
              <w:right w:val="single" w:color="000000" w:sz="4" w:space="0"/>
            </w:tcBorders>
            <w:shd w:val="clear" w:color="auto" w:fill="auto"/>
            <w:vAlign w:val="center"/>
          </w:tcPr>
          <w:p w14:paraId="6F0C77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vAF-200（软件升级、、URL&amp;应用识别规则库、本地网关杀毒、ips＋web防护、僵尸网络识别库、实时漏洞）</w:t>
            </w:r>
          </w:p>
        </w:tc>
        <w:tc>
          <w:tcPr>
            <w:tcW w:w="360" w:type="pct"/>
            <w:tcBorders>
              <w:top w:val="single" w:color="000000" w:sz="4" w:space="0"/>
              <w:left w:val="single" w:color="000000" w:sz="4" w:space="0"/>
              <w:bottom w:val="single" w:color="auto" w:sz="4" w:space="0"/>
              <w:right w:val="single" w:color="000000" w:sz="4" w:space="0"/>
            </w:tcBorders>
            <w:shd w:val="clear" w:color="auto" w:fill="auto"/>
            <w:vAlign w:val="center"/>
          </w:tcPr>
          <w:p w14:paraId="4C58DAC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项</w:t>
            </w:r>
          </w:p>
        </w:tc>
        <w:tc>
          <w:tcPr>
            <w:tcW w:w="462" w:type="pct"/>
            <w:tcBorders>
              <w:top w:val="single" w:color="000000" w:sz="4" w:space="0"/>
              <w:left w:val="single" w:color="000000" w:sz="4" w:space="0"/>
              <w:bottom w:val="single" w:color="auto" w:sz="4" w:space="0"/>
              <w:right w:val="single" w:color="000000" w:sz="4" w:space="0"/>
            </w:tcBorders>
            <w:shd w:val="clear" w:color="auto" w:fill="auto"/>
            <w:vAlign w:val="center"/>
          </w:tcPr>
          <w:p w14:paraId="402532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791DF983">
        <w:tblPrEx>
          <w:tblCellMar>
            <w:top w:w="0" w:type="dxa"/>
            <w:left w:w="108" w:type="dxa"/>
            <w:bottom w:w="0" w:type="dxa"/>
            <w:right w:w="108" w:type="dxa"/>
          </w:tblCellMar>
        </w:tblPrEx>
        <w:trPr>
          <w:trHeight w:val="1099"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55F5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5</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6FE8BA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深信服交换机aRS6300-24X-LI-12X</w:t>
            </w:r>
          </w:p>
        </w:tc>
        <w:tc>
          <w:tcPr>
            <w:tcW w:w="2572" w:type="pct"/>
            <w:tcBorders>
              <w:top w:val="single" w:color="auto" w:sz="4" w:space="0"/>
              <w:left w:val="single" w:color="auto" w:sz="4" w:space="0"/>
              <w:bottom w:val="single" w:color="auto" w:sz="4" w:space="0"/>
              <w:right w:val="single" w:color="auto" w:sz="4" w:space="0"/>
            </w:tcBorders>
            <w:shd w:val="clear" w:color="auto" w:fill="auto"/>
            <w:vAlign w:val="center"/>
          </w:tcPr>
          <w:p w14:paraId="693F8B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整机质保</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181B2C1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sz w:val="24"/>
                <w:szCs w:val="24"/>
              </w:rPr>
              <w:t>台</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5D39730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ascii="仿宋" w:hAnsi="仿宋" w:eastAsia="仿宋" w:cs="仿宋"/>
                <w:kern w:val="0"/>
                <w:sz w:val="24"/>
                <w:szCs w:val="24"/>
                <w:lang w:bidi="ar"/>
              </w:rPr>
              <w:t>2</w:t>
            </w:r>
          </w:p>
        </w:tc>
      </w:tr>
      <w:tr w14:paraId="62A861AB">
        <w:tblPrEx>
          <w:tblCellMar>
            <w:top w:w="0" w:type="dxa"/>
            <w:left w:w="108" w:type="dxa"/>
            <w:bottom w:w="0" w:type="dxa"/>
            <w:right w:w="108" w:type="dxa"/>
          </w:tblCellMar>
        </w:tblPrEx>
        <w:trPr>
          <w:trHeight w:val="1099" w:hRule="atLeast"/>
        </w:trPr>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025C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sz w:val="24"/>
                <w:szCs w:val="24"/>
                <w:lang w:eastAsia="zh-CN"/>
              </w:rPr>
            </w:pPr>
            <w:r>
              <w:rPr>
                <w:rFonts w:hint="eastAsia" w:ascii="仿宋" w:hAnsi="仿宋" w:eastAsia="仿宋" w:cs="仿宋"/>
                <w:kern w:val="0"/>
                <w:sz w:val="24"/>
                <w:szCs w:val="24"/>
                <w:lang w:bidi="ar"/>
              </w:rPr>
              <w:t>1</w:t>
            </w:r>
            <w:r>
              <w:rPr>
                <w:rFonts w:hint="eastAsia" w:ascii="仿宋" w:hAnsi="仿宋" w:eastAsia="仿宋" w:cs="仿宋"/>
                <w:kern w:val="0"/>
                <w:sz w:val="24"/>
                <w:szCs w:val="24"/>
                <w:lang w:val="en-US" w:eastAsia="zh-CN" w:bidi="ar"/>
              </w:rPr>
              <w:t>6</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73DB87E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H3C网关 SecPath F1000-AK1120</w:t>
            </w:r>
          </w:p>
        </w:tc>
        <w:tc>
          <w:tcPr>
            <w:tcW w:w="25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2DA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硬件质保、AV病毒库</w:t>
            </w:r>
          </w:p>
        </w:tc>
        <w:tc>
          <w:tcPr>
            <w:tcW w:w="360" w:type="pct"/>
            <w:tcBorders>
              <w:top w:val="single" w:color="auto" w:sz="4" w:space="0"/>
              <w:left w:val="single" w:color="auto" w:sz="4" w:space="0"/>
              <w:bottom w:val="single" w:color="auto" w:sz="4" w:space="0"/>
              <w:right w:val="single" w:color="auto" w:sz="4" w:space="0"/>
            </w:tcBorders>
            <w:shd w:val="clear" w:color="auto" w:fill="auto"/>
            <w:vAlign w:val="center"/>
          </w:tcPr>
          <w:p w14:paraId="45B411C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台</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14:paraId="60448A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1</w:t>
            </w:r>
          </w:p>
        </w:tc>
      </w:tr>
      <w:tr w14:paraId="465E84E8">
        <w:tblPrEx>
          <w:tblCellMar>
            <w:top w:w="0" w:type="dxa"/>
            <w:left w:w="108" w:type="dxa"/>
            <w:bottom w:w="0" w:type="dxa"/>
            <w:right w:w="108" w:type="dxa"/>
          </w:tblCellMar>
        </w:tblPrEx>
        <w:trPr>
          <w:trHeight w:val="549"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D6582A4">
            <w:pPr>
              <w:keepNext w:val="0"/>
              <w:keepLines w:val="0"/>
              <w:pageBreakBefore w:val="0"/>
              <w:widowControl/>
              <w:kinsoku/>
              <w:wordWrap/>
              <w:overflowPunct/>
              <w:topLinePunct w:val="0"/>
              <w:autoSpaceDE/>
              <w:autoSpaceDN/>
              <w:bidi w:val="0"/>
              <w:adjustRightInd/>
              <w:snapToGrid/>
              <w:spacing w:line="400" w:lineRule="exact"/>
              <w:textAlignment w:val="center"/>
              <w:rPr>
                <w:rFonts w:ascii="仿宋" w:hAnsi="仿宋" w:eastAsia="仿宋" w:cs="仿宋"/>
                <w:b/>
                <w:kern w:val="0"/>
                <w:sz w:val="24"/>
                <w:szCs w:val="24"/>
                <w:lang w:bidi="ar"/>
              </w:rPr>
            </w:pPr>
            <w:r>
              <w:rPr>
                <w:rFonts w:hint="eastAsia" w:ascii="仿宋" w:hAnsi="仿宋" w:eastAsia="仿宋" w:cs="仿宋"/>
                <w:b/>
                <w:bCs/>
                <w:kern w:val="0"/>
                <w:sz w:val="24"/>
                <w:szCs w:val="24"/>
                <w:lang w:bidi="ar"/>
              </w:rPr>
              <w:t>以上设备均续保壹年，供应商需承诺所提供的产品均为原厂制造（格式自拟）。</w:t>
            </w:r>
          </w:p>
        </w:tc>
      </w:tr>
    </w:tbl>
    <w:p w14:paraId="5A8E2925">
      <w:pPr>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三、商务条款</w:t>
      </w:r>
    </w:p>
    <w:p w14:paraId="28BC1D28">
      <w:pPr>
        <w:spacing w:line="560" w:lineRule="exact"/>
        <w:ind w:firstLine="542" w:firstLineChars="200"/>
        <w:jc w:val="left"/>
      </w:pPr>
      <w:r>
        <w:rPr>
          <w:rFonts w:hint="eastAsia" w:ascii="仿宋_GB2312" w:hAnsi="仿宋_GB2312" w:eastAsia="仿宋_GB2312" w:cs="仿宋_GB2312"/>
          <w:b/>
          <w:bCs/>
          <w:sz w:val="27"/>
          <w:szCs w:val="27"/>
        </w:rPr>
        <w:t>（一）服务期：</w:t>
      </w:r>
      <w:r>
        <w:rPr>
          <w:rFonts w:hint="eastAsia" w:ascii="仿宋" w:hAnsi="仿宋" w:eastAsia="仿宋" w:cs="仿宋"/>
          <w:bCs/>
          <w:sz w:val="27"/>
          <w:szCs w:val="27"/>
        </w:rPr>
        <w:t>合同签订后提供壹年服务期。</w:t>
      </w:r>
    </w:p>
    <w:p w14:paraId="498C2672">
      <w:pPr>
        <w:spacing w:line="480" w:lineRule="exact"/>
        <w:ind w:firstLine="542" w:firstLineChars="200"/>
        <w:rPr>
          <w:rFonts w:ascii="仿宋" w:hAnsi="仿宋" w:eastAsia="仿宋" w:cs="仿宋"/>
          <w:bCs/>
          <w:sz w:val="27"/>
          <w:szCs w:val="27"/>
        </w:rPr>
      </w:pPr>
      <w:r>
        <w:rPr>
          <w:rFonts w:hint="eastAsia" w:ascii="仿宋" w:hAnsi="仿宋" w:eastAsia="仿宋" w:cs="仿宋"/>
          <w:b/>
          <w:sz w:val="27"/>
          <w:szCs w:val="27"/>
        </w:rPr>
        <w:t>（二）</w:t>
      </w:r>
      <w:r>
        <w:rPr>
          <w:rFonts w:hint="eastAsia" w:ascii="仿宋" w:hAnsi="仿宋" w:eastAsia="仿宋" w:cs="仿宋"/>
          <w:b/>
          <w:sz w:val="27"/>
          <w:szCs w:val="27"/>
          <w:lang w:val="zh-TW"/>
        </w:rPr>
        <w:t>付款方式：</w:t>
      </w:r>
      <w:r>
        <w:rPr>
          <w:rFonts w:hint="eastAsia" w:ascii="仿宋" w:hAnsi="仿宋" w:eastAsia="仿宋" w:cs="仿宋"/>
          <w:bCs/>
          <w:sz w:val="27"/>
          <w:szCs w:val="27"/>
          <w:lang w:val="zh-TW"/>
        </w:rPr>
        <w:t>按季度分四次支付，</w:t>
      </w:r>
      <w:r>
        <w:rPr>
          <w:rFonts w:hint="eastAsia" w:ascii="仿宋" w:hAnsi="仿宋" w:eastAsia="仿宋" w:cs="仿宋"/>
          <w:bCs/>
          <w:sz w:val="27"/>
          <w:szCs w:val="27"/>
        </w:rPr>
        <w:t>每季度支付</w:t>
      </w:r>
      <w:r>
        <w:rPr>
          <w:rFonts w:hint="eastAsia" w:ascii="仿宋" w:hAnsi="仿宋" w:eastAsia="仿宋" w:cs="仿宋"/>
          <w:bCs/>
          <w:sz w:val="27"/>
          <w:szCs w:val="27"/>
          <w:lang w:val="zh-TW"/>
        </w:rPr>
        <w:t>合同金额的25%，每次</w:t>
      </w:r>
      <w:r>
        <w:rPr>
          <w:rFonts w:hint="eastAsia" w:ascii="仿宋" w:hAnsi="仿宋" w:eastAsia="仿宋" w:cs="仿宋"/>
          <w:bCs/>
          <w:sz w:val="27"/>
          <w:szCs w:val="27"/>
        </w:rPr>
        <w:t>付款与考核表挂钩，采购人</w:t>
      </w:r>
      <w:r>
        <w:rPr>
          <w:rFonts w:hint="eastAsia" w:ascii="仿宋" w:hAnsi="仿宋" w:eastAsia="仿宋" w:cs="仿宋"/>
          <w:bCs/>
          <w:sz w:val="27"/>
          <w:szCs w:val="27"/>
          <w:lang w:val="zh-TW"/>
        </w:rPr>
        <w:t>根据</w:t>
      </w:r>
      <w:r>
        <w:rPr>
          <w:rFonts w:ascii="仿宋" w:hAnsi="仿宋" w:eastAsia="仿宋" w:cs="仿宋"/>
          <w:spacing w:val="6"/>
          <w:sz w:val="26"/>
          <w:szCs w:val="26"/>
        </w:rPr>
        <w:t>据每月的考核结果将</w:t>
      </w:r>
      <w:r>
        <w:rPr>
          <w:rFonts w:hint="eastAsia" w:ascii="仿宋" w:hAnsi="仿宋" w:eastAsia="仿宋" w:cs="仿宋"/>
          <w:spacing w:val="6"/>
          <w:sz w:val="26"/>
          <w:szCs w:val="26"/>
        </w:rPr>
        <w:t>应付</w:t>
      </w:r>
      <w:r>
        <w:rPr>
          <w:rFonts w:ascii="仿宋" w:hAnsi="仿宋" w:eastAsia="仿宋" w:cs="仿宋"/>
          <w:spacing w:val="6"/>
          <w:sz w:val="26"/>
          <w:szCs w:val="26"/>
        </w:rPr>
        <w:t>总额通过银行转账至</w:t>
      </w:r>
      <w:r>
        <w:rPr>
          <w:rFonts w:hint="eastAsia" w:ascii="仿宋" w:hAnsi="仿宋" w:eastAsia="仿宋" w:cs="仿宋"/>
          <w:sz w:val="26"/>
          <w:szCs w:val="26"/>
        </w:rPr>
        <w:t>成交供应商</w:t>
      </w:r>
      <w:r>
        <w:rPr>
          <w:rFonts w:ascii="仿宋" w:hAnsi="仿宋" w:eastAsia="仿宋" w:cs="仿宋"/>
          <w:spacing w:val="7"/>
          <w:sz w:val="26"/>
          <w:szCs w:val="26"/>
        </w:rPr>
        <w:t>账户</w:t>
      </w:r>
      <w:r>
        <w:rPr>
          <w:rFonts w:hint="eastAsia" w:ascii="仿宋" w:hAnsi="仿宋" w:eastAsia="仿宋" w:cs="仿宋"/>
          <w:spacing w:val="7"/>
          <w:sz w:val="26"/>
          <w:szCs w:val="26"/>
        </w:rPr>
        <w:t>，</w:t>
      </w:r>
      <w:r>
        <w:rPr>
          <w:rFonts w:hint="eastAsia" w:ascii="仿宋" w:hAnsi="仿宋" w:eastAsia="仿宋" w:cs="仿宋"/>
          <w:bCs/>
          <w:sz w:val="27"/>
          <w:szCs w:val="27"/>
        </w:rPr>
        <w:t>考核细则祥见</w:t>
      </w:r>
      <w:r>
        <w:rPr>
          <w:rFonts w:hint="eastAsia" w:ascii="仿宋" w:hAnsi="仿宋" w:eastAsia="仿宋" w:cs="仿宋"/>
          <w:kern w:val="0"/>
          <w:sz w:val="27"/>
          <w:szCs w:val="27"/>
        </w:rPr>
        <w:t>附件1.网络安全服务考核表</w:t>
      </w:r>
      <w:r>
        <w:rPr>
          <w:rFonts w:hint="eastAsia" w:ascii="仿宋" w:hAnsi="仿宋" w:eastAsia="仿宋" w:cs="仿宋"/>
          <w:bCs/>
          <w:sz w:val="27"/>
          <w:szCs w:val="27"/>
        </w:rPr>
        <w:t>。</w:t>
      </w:r>
      <w:r>
        <w:rPr>
          <w:rFonts w:hint="eastAsia" w:ascii="仿宋" w:hAnsi="仿宋" w:eastAsia="仿宋" w:cs="仿宋"/>
          <w:bCs/>
          <w:sz w:val="27"/>
          <w:szCs w:val="27"/>
          <w:lang w:val="zh-TW"/>
        </w:rPr>
        <w:t>（</w:t>
      </w:r>
      <w:r>
        <w:rPr>
          <w:rFonts w:hint="eastAsia" w:ascii="仿宋" w:hAnsi="仿宋" w:eastAsia="仿宋" w:cs="仿宋"/>
          <w:bCs/>
          <w:sz w:val="27"/>
          <w:szCs w:val="27"/>
        </w:rPr>
        <w:t>采购人</w:t>
      </w:r>
      <w:r>
        <w:rPr>
          <w:rFonts w:hint="eastAsia" w:ascii="仿宋" w:hAnsi="仿宋" w:eastAsia="仿宋" w:cs="仿宋"/>
          <w:bCs/>
          <w:sz w:val="27"/>
          <w:szCs w:val="27"/>
          <w:lang w:val="zh-TW"/>
        </w:rPr>
        <w:t>付款前，</w:t>
      </w:r>
      <w:r>
        <w:rPr>
          <w:rFonts w:hint="eastAsia" w:ascii="仿宋" w:hAnsi="仿宋" w:eastAsia="仿宋" w:cs="仿宋"/>
          <w:bCs/>
          <w:sz w:val="27"/>
          <w:szCs w:val="27"/>
        </w:rPr>
        <w:t>成交供应商</w:t>
      </w:r>
      <w:r>
        <w:rPr>
          <w:rFonts w:hint="eastAsia" w:ascii="仿宋" w:hAnsi="仿宋" w:eastAsia="仿宋" w:cs="仿宋"/>
          <w:bCs/>
          <w:sz w:val="27"/>
          <w:szCs w:val="27"/>
          <w:lang w:val="zh-TW"/>
        </w:rPr>
        <w:t>应向</w:t>
      </w:r>
      <w:r>
        <w:rPr>
          <w:rFonts w:hint="eastAsia" w:ascii="仿宋" w:hAnsi="仿宋" w:eastAsia="仿宋" w:cs="仿宋"/>
          <w:bCs/>
          <w:sz w:val="27"/>
          <w:szCs w:val="27"/>
        </w:rPr>
        <w:t>采购人</w:t>
      </w:r>
      <w:r>
        <w:rPr>
          <w:rFonts w:hint="eastAsia" w:ascii="仿宋" w:hAnsi="仿宋" w:eastAsia="仿宋" w:cs="仿宋"/>
          <w:bCs/>
          <w:sz w:val="27"/>
          <w:szCs w:val="27"/>
          <w:lang w:val="zh-TW"/>
        </w:rPr>
        <w:t>开具等额有效的增值税发票，</w:t>
      </w:r>
      <w:r>
        <w:rPr>
          <w:rFonts w:hint="eastAsia" w:ascii="仿宋" w:hAnsi="仿宋" w:eastAsia="仿宋" w:cs="仿宋"/>
          <w:bCs/>
          <w:sz w:val="27"/>
          <w:szCs w:val="27"/>
        </w:rPr>
        <w:t>采购人</w:t>
      </w:r>
      <w:r>
        <w:rPr>
          <w:rFonts w:hint="eastAsia" w:ascii="仿宋" w:hAnsi="仿宋" w:eastAsia="仿宋" w:cs="仿宋"/>
          <w:bCs/>
          <w:sz w:val="27"/>
          <w:szCs w:val="27"/>
          <w:lang w:val="zh-TW"/>
        </w:rPr>
        <w:t>未收到发票的，有权不予支付相应款项直至</w:t>
      </w:r>
      <w:r>
        <w:rPr>
          <w:rFonts w:hint="eastAsia" w:ascii="仿宋" w:hAnsi="仿宋" w:eastAsia="仿宋" w:cs="仿宋"/>
          <w:bCs/>
          <w:sz w:val="27"/>
          <w:szCs w:val="27"/>
        </w:rPr>
        <w:t>成交供应商</w:t>
      </w:r>
      <w:r>
        <w:rPr>
          <w:rFonts w:hint="eastAsia" w:ascii="仿宋" w:hAnsi="仿宋" w:eastAsia="仿宋" w:cs="仿宋"/>
          <w:bCs/>
          <w:sz w:val="27"/>
          <w:szCs w:val="27"/>
          <w:lang w:val="zh-TW"/>
        </w:rPr>
        <w:t>提供合格发票，并不承担延迟付款责任。发票认证通过是付款的必要前提之一。）</w:t>
      </w:r>
    </w:p>
    <w:p w14:paraId="152069D8">
      <w:pPr>
        <w:spacing w:line="480" w:lineRule="exact"/>
        <w:ind w:firstLine="542" w:firstLineChars="200"/>
        <w:rPr>
          <w:rFonts w:ascii="仿宋" w:hAnsi="仿宋" w:eastAsia="仿宋" w:cs="仿宋"/>
          <w:b/>
          <w:sz w:val="27"/>
          <w:szCs w:val="27"/>
        </w:rPr>
      </w:pPr>
      <w:r>
        <w:rPr>
          <w:rFonts w:hint="eastAsia" w:ascii="仿宋" w:hAnsi="仿宋" w:eastAsia="仿宋" w:cs="仿宋"/>
          <w:b/>
          <w:sz w:val="27"/>
          <w:szCs w:val="27"/>
        </w:rPr>
        <w:t>（三）违约条款：</w:t>
      </w:r>
    </w:p>
    <w:p w14:paraId="583FE423">
      <w:pPr>
        <w:spacing w:line="480" w:lineRule="exact"/>
        <w:ind w:firstLine="540" w:firstLineChars="200"/>
        <w:rPr>
          <w:rFonts w:ascii="仿宋" w:hAnsi="仿宋" w:eastAsia="仿宋" w:cs="仿宋"/>
          <w:bCs/>
          <w:sz w:val="27"/>
          <w:szCs w:val="27"/>
        </w:rPr>
      </w:pPr>
      <w:r>
        <w:rPr>
          <w:rFonts w:hint="eastAsia" w:ascii="仿宋" w:hAnsi="仿宋" w:eastAsia="仿宋" w:cs="仿宋"/>
          <w:bCs/>
          <w:sz w:val="27"/>
          <w:szCs w:val="27"/>
        </w:rPr>
        <w:t>1、有一个季度考核扣分达到60分（含60分）及以上的，采购方有权单方面解除合同，当前季度款项及剩余款项不再支付。</w:t>
      </w:r>
    </w:p>
    <w:p w14:paraId="4E092698">
      <w:pPr>
        <w:spacing w:line="480" w:lineRule="exact"/>
        <w:ind w:firstLine="540" w:firstLineChars="200"/>
        <w:rPr>
          <w:rFonts w:ascii="仿宋" w:hAnsi="仿宋" w:eastAsia="仿宋" w:cs="仿宋"/>
          <w:bCs/>
          <w:sz w:val="27"/>
          <w:szCs w:val="27"/>
        </w:rPr>
      </w:pPr>
      <w:r>
        <w:rPr>
          <w:rFonts w:hint="eastAsia" w:ascii="仿宋" w:hAnsi="仿宋" w:eastAsia="仿宋" w:cs="仿宋"/>
          <w:bCs/>
          <w:sz w:val="27"/>
          <w:szCs w:val="27"/>
        </w:rPr>
        <w:t xml:space="preserve">2、成交供应商没有按照合同规定或未经采购人书面同意随意变更时长、时段、位置和内容，或是不能按采购人合理要求对服务方案进行调整的，每违约1次，应按合同金额的1%支付违约金，且成交供应商应当按照采购人的要求完成整改。累计违约达3次的，采购人有权单方面解除合同，给采购人造成损失的，成交供应商应当予以全额赔偿。 </w:t>
      </w:r>
    </w:p>
    <w:p w14:paraId="7B2F4E88">
      <w:pPr>
        <w:spacing w:line="480" w:lineRule="exact"/>
        <w:ind w:firstLine="540" w:firstLineChars="200"/>
        <w:rPr>
          <w:rFonts w:ascii="仿宋" w:hAnsi="仿宋" w:eastAsia="仿宋" w:cs="仿宋"/>
          <w:bCs/>
          <w:sz w:val="27"/>
          <w:szCs w:val="27"/>
        </w:rPr>
      </w:pPr>
      <w:r>
        <w:rPr>
          <w:rFonts w:hint="eastAsia" w:ascii="仿宋" w:hAnsi="仿宋" w:eastAsia="仿宋" w:cs="仿宋"/>
          <w:bCs/>
          <w:sz w:val="27"/>
          <w:szCs w:val="27"/>
        </w:rPr>
        <w:t xml:space="preserve">3、除本合同另有约定外，成交供应商违反合同约定，未完成规定服务目标，采购人有权要求成交供应商在采购人规定的期限内整改完成，逾期未完成的，每延期一日，成交供应商应以合同总金额的 1‰向采购人支付违约金。逾期超过30日的，采购人有权单方解除合同；除支付违约金外，给采购人造成损失的，成交供应商应当予以全部赔偿。 </w:t>
      </w:r>
    </w:p>
    <w:p w14:paraId="7D82FF44">
      <w:pPr>
        <w:spacing w:line="480" w:lineRule="exact"/>
        <w:ind w:firstLine="540" w:firstLineChars="200"/>
        <w:rPr>
          <w:rFonts w:ascii="仿宋" w:hAnsi="仿宋" w:eastAsia="仿宋" w:cs="仿宋"/>
          <w:bCs/>
          <w:sz w:val="27"/>
          <w:szCs w:val="27"/>
        </w:rPr>
      </w:pPr>
      <w:r>
        <w:rPr>
          <w:rFonts w:hint="eastAsia" w:ascii="仿宋" w:hAnsi="仿宋" w:eastAsia="仿宋" w:cs="仿宋"/>
          <w:bCs/>
          <w:sz w:val="27"/>
          <w:szCs w:val="27"/>
        </w:rPr>
        <w:t xml:space="preserve">4、赔偿损失的范围包括但不限于律师费、案件受理费、保全费、保函费、执行费、评估费、鉴定费、公证费、拍卖费、交通差旅费、调查取证的费用等。 </w:t>
      </w:r>
    </w:p>
    <w:p w14:paraId="2E67FE27">
      <w:pPr>
        <w:spacing w:line="480" w:lineRule="exact"/>
        <w:ind w:firstLine="540" w:firstLineChars="200"/>
        <w:rPr>
          <w:rFonts w:ascii="仿宋" w:hAnsi="仿宋" w:eastAsia="仿宋" w:cs="仿宋"/>
          <w:bCs/>
          <w:sz w:val="27"/>
          <w:szCs w:val="27"/>
        </w:rPr>
      </w:pPr>
      <w:r>
        <w:rPr>
          <w:rFonts w:hint="eastAsia" w:ascii="仿宋" w:hAnsi="仿宋" w:eastAsia="仿宋" w:cs="仿宋"/>
          <w:bCs/>
          <w:sz w:val="27"/>
          <w:szCs w:val="27"/>
        </w:rPr>
        <w:t>5、其它未尽事宜，以采购文件及响应文件为准，或者由甲乙双方友好协商解决另行签订书面补充协议，否则参照《中华人民共和国民法典》议定。</w:t>
      </w:r>
    </w:p>
    <w:p w14:paraId="5D72A5D4">
      <w:pPr>
        <w:spacing w:line="360" w:lineRule="auto"/>
        <w:ind w:firstLine="540" w:firstLineChars="200"/>
        <w:jc w:val="left"/>
        <w:rPr>
          <w:rFonts w:ascii="仿宋" w:hAnsi="仿宋" w:eastAsia="仿宋" w:cs="仿宋"/>
          <w:kern w:val="0"/>
          <w:sz w:val="27"/>
          <w:szCs w:val="27"/>
        </w:rPr>
      </w:pPr>
      <w:r>
        <w:rPr>
          <w:rFonts w:hint="eastAsia" w:ascii="仿宋" w:hAnsi="仿宋" w:eastAsia="仿宋" w:cs="仿宋"/>
          <w:bCs/>
          <w:sz w:val="27"/>
          <w:szCs w:val="27"/>
        </w:rPr>
        <w:t>6、成交供应商</w:t>
      </w:r>
      <w:r>
        <w:rPr>
          <w:rFonts w:hint="eastAsia" w:ascii="仿宋" w:hAnsi="仿宋" w:eastAsia="仿宋" w:cs="仿宋"/>
          <w:kern w:val="0"/>
          <w:sz w:val="27"/>
          <w:szCs w:val="27"/>
        </w:rPr>
        <w:t>须保证对本项目实施中所获得任何资料和信息严格保密，并与采购人签订保密责任书。甲乙双方对相关工作所涉及的国家秘密和商业秘密负有保密责任，对相关工作所产生的信息资料负有保密义务，严禁复制、拍摄、摘抄、泄露、贩卖国家秘密、商业秘密，严禁未经许可披露或私自泄露相关工作所取得的任何资料和谈话内容。如有违反保密要求之行为的，应承担相应法律责任并赔偿由此产生的所有损失。</w:t>
      </w:r>
    </w:p>
    <w:p w14:paraId="58B89050">
      <w:pPr>
        <w:spacing w:line="480" w:lineRule="exact"/>
        <w:ind w:firstLine="540" w:firstLineChars="200"/>
        <w:rPr>
          <w:rFonts w:eastAsia="仿宋"/>
        </w:rPr>
      </w:pPr>
      <w:r>
        <w:rPr>
          <w:rFonts w:hint="eastAsia" w:ascii="仿宋" w:hAnsi="仿宋" w:eastAsia="仿宋" w:cs="仿宋"/>
          <w:bCs/>
          <w:sz w:val="27"/>
          <w:szCs w:val="27"/>
        </w:rPr>
        <w:t>7、采购人对成交供应商的服务情况每季度进行考核。考核后采购人将考核结果告知成交供应商，成交供应商应在收到考核结果五个工作日内进行确认，超时未确认且未提出异议的视同成交供应商同意考核结果。</w:t>
      </w:r>
    </w:p>
    <w:p w14:paraId="10E881AD">
      <w:pPr>
        <w:spacing w:line="480" w:lineRule="exact"/>
        <w:ind w:firstLine="542" w:firstLineChars="200"/>
        <w:rPr>
          <w:rFonts w:ascii="仿宋" w:hAnsi="仿宋" w:eastAsia="仿宋" w:cs="仿宋"/>
          <w:bCs/>
          <w:sz w:val="27"/>
          <w:szCs w:val="27"/>
        </w:rPr>
      </w:pPr>
      <w:r>
        <w:rPr>
          <w:rFonts w:hint="eastAsia" w:ascii="仿宋" w:hAnsi="仿宋" w:eastAsia="仿宋" w:cs="仿宋"/>
          <w:b/>
          <w:sz w:val="27"/>
          <w:szCs w:val="27"/>
        </w:rPr>
        <w:t>（四）履约保证金：</w:t>
      </w:r>
      <w:r>
        <w:rPr>
          <w:rFonts w:hint="eastAsia" w:ascii="仿宋" w:hAnsi="仿宋" w:eastAsia="仿宋" w:cs="仿宋"/>
          <w:bCs/>
          <w:sz w:val="27"/>
          <w:szCs w:val="27"/>
        </w:rPr>
        <w:t>本采购项目履约保证金为合同金额的5%，提交方式应当采用支票、汇票、本票、网上银行支付或者金融机构、担保机构出具的保函等非现金形式交纳。项目验收合格后，由成交供应商提出书面申请，采购人无息退还。</w:t>
      </w:r>
    </w:p>
    <w:p w14:paraId="6F22155E">
      <w:pPr>
        <w:spacing w:line="480" w:lineRule="exact"/>
        <w:ind w:firstLine="542" w:firstLineChars="200"/>
        <w:rPr>
          <w:rFonts w:ascii="仿宋" w:hAnsi="仿宋" w:eastAsia="仿宋" w:cs="仿宋"/>
          <w:bCs/>
          <w:sz w:val="27"/>
          <w:szCs w:val="27"/>
        </w:rPr>
      </w:pPr>
      <w:r>
        <w:rPr>
          <w:rFonts w:hint="eastAsia" w:ascii="仿宋" w:hAnsi="仿宋" w:eastAsia="仿宋" w:cs="仿宋"/>
          <w:b/>
          <w:bCs w:val="0"/>
          <w:sz w:val="27"/>
          <w:szCs w:val="27"/>
        </w:rPr>
        <w:t>（五）</w:t>
      </w:r>
      <w:r>
        <w:rPr>
          <w:rFonts w:hint="eastAsia" w:ascii="仿宋" w:hAnsi="仿宋" w:eastAsia="仿宋" w:cs="仿宋"/>
          <w:bCs/>
          <w:sz w:val="27"/>
          <w:szCs w:val="27"/>
        </w:rPr>
        <w:t>成交供应商应严格遵守安全法律法规，采取安全保障措施，保证人员安全。因成交供应商原因造成的人员伤亡和财产损失，均由成交供应商承担。</w:t>
      </w:r>
    </w:p>
    <w:p w14:paraId="3030045B">
      <w:pPr>
        <w:spacing w:line="480" w:lineRule="exact"/>
        <w:ind w:firstLine="542" w:firstLineChars="200"/>
        <w:rPr>
          <w:rFonts w:ascii="仿宋" w:hAnsi="仿宋" w:eastAsia="仿宋" w:cs="仿宋"/>
          <w:kern w:val="0"/>
          <w:sz w:val="27"/>
          <w:szCs w:val="27"/>
        </w:rPr>
      </w:pPr>
      <w:r>
        <w:rPr>
          <w:rFonts w:hint="eastAsia" w:ascii="仿宋" w:hAnsi="仿宋" w:eastAsia="仿宋" w:cs="仿宋"/>
          <w:b/>
          <w:bCs w:val="0"/>
          <w:sz w:val="27"/>
          <w:szCs w:val="27"/>
        </w:rPr>
        <w:t>(六） 知识产权保护：</w:t>
      </w:r>
      <w:r>
        <w:rPr>
          <w:rFonts w:hint="eastAsia" w:ascii="仿宋" w:hAnsi="仿宋" w:eastAsia="仿宋" w:cs="仿宋"/>
          <w:bCs/>
          <w:sz w:val="27"/>
          <w:szCs w:val="27"/>
        </w:rPr>
        <w:t>成交供应商应保护采购人在使用该货物或其任何一部分时不受第三方提出侵犯专利权、商标权、著作权或其它知识产权起诉的指控。如果任何第三方提出侵权指控成交供应商须与第三方交涉并承担可能发生的一切法律责任和费用。</w:t>
      </w:r>
    </w:p>
    <w:p w14:paraId="43098882">
      <w:pPr>
        <w:spacing w:line="360" w:lineRule="auto"/>
        <w:ind w:firstLine="542" w:firstLineChars="200"/>
        <w:jc w:val="left"/>
        <w:rPr>
          <w:rFonts w:ascii="宋体" w:hAnsi="宋体" w:eastAsia="仿宋" w:cs="宋体"/>
          <w:b/>
          <w:bCs/>
          <w:sz w:val="27"/>
          <w:szCs w:val="27"/>
          <w:lang w:bidi="zh-TW"/>
        </w:rPr>
      </w:pPr>
      <w:r>
        <w:rPr>
          <w:rFonts w:hint="eastAsia" w:ascii="仿宋" w:hAnsi="仿宋" w:eastAsia="仿宋" w:cs="仿宋"/>
          <w:b/>
          <w:bCs/>
          <w:kern w:val="0"/>
          <w:sz w:val="27"/>
          <w:szCs w:val="27"/>
        </w:rPr>
        <w:t>（七）附件1.网络安全服务考核表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7323"/>
        <w:gridCol w:w="686"/>
        <w:gridCol w:w="791"/>
      </w:tblGrid>
      <w:tr w14:paraId="6520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318C1793">
            <w:pPr>
              <w:pStyle w:val="11"/>
              <w:autoSpaceDE w:val="0"/>
              <w:autoSpaceDN w:val="0"/>
              <w:spacing w:before="0" w:beforeAutospacing="0" w:after="0" w:afterAutospacing="0" w:line="360" w:lineRule="auto"/>
              <w:jc w:val="center"/>
              <w:rPr>
                <w:rFonts w:ascii="仿宋" w:hAnsi="仿宋" w:eastAsia="仿宋" w:cs="仿宋"/>
                <w:b/>
                <w:color w:val="auto"/>
                <w:sz w:val="27"/>
                <w:szCs w:val="27"/>
              </w:rPr>
            </w:pPr>
            <w:r>
              <w:rPr>
                <w:rFonts w:hint="eastAsia" w:ascii="仿宋" w:hAnsi="仿宋" w:eastAsia="仿宋" w:cs="仿宋"/>
                <w:b/>
                <w:color w:val="auto"/>
                <w:sz w:val="27"/>
                <w:szCs w:val="27"/>
                <w:lang w:eastAsia="zh-CN"/>
              </w:rPr>
              <w:t>序号</w:t>
            </w:r>
          </w:p>
        </w:tc>
        <w:tc>
          <w:tcPr>
            <w:tcW w:w="3955" w:type="pct"/>
            <w:vAlign w:val="center"/>
          </w:tcPr>
          <w:p w14:paraId="3F1816FD">
            <w:pPr>
              <w:pStyle w:val="11"/>
              <w:autoSpaceDE w:val="0"/>
              <w:autoSpaceDN w:val="0"/>
              <w:spacing w:before="0" w:beforeAutospacing="0" w:after="0" w:afterAutospacing="0" w:line="360" w:lineRule="auto"/>
              <w:jc w:val="center"/>
              <w:rPr>
                <w:rFonts w:ascii="仿宋" w:hAnsi="仿宋" w:eastAsia="仿宋" w:cs="仿宋"/>
                <w:b/>
                <w:color w:val="auto"/>
                <w:sz w:val="27"/>
                <w:szCs w:val="27"/>
              </w:rPr>
            </w:pPr>
            <w:r>
              <w:rPr>
                <w:rFonts w:hint="eastAsia" w:ascii="仿宋" w:hAnsi="仿宋" w:eastAsia="仿宋" w:cs="仿宋"/>
                <w:b/>
                <w:color w:val="auto"/>
                <w:sz w:val="27"/>
                <w:szCs w:val="27"/>
              </w:rPr>
              <w:t>考核内容</w:t>
            </w:r>
          </w:p>
        </w:tc>
        <w:tc>
          <w:tcPr>
            <w:tcW w:w="382" w:type="pct"/>
            <w:vAlign w:val="center"/>
          </w:tcPr>
          <w:p w14:paraId="16284D49">
            <w:pPr>
              <w:pStyle w:val="11"/>
              <w:autoSpaceDE w:val="0"/>
              <w:autoSpaceDN w:val="0"/>
              <w:spacing w:before="0" w:beforeAutospacing="0" w:after="0" w:afterAutospacing="0" w:line="360" w:lineRule="auto"/>
              <w:jc w:val="center"/>
              <w:rPr>
                <w:rFonts w:ascii="仿宋" w:hAnsi="仿宋" w:eastAsia="仿宋" w:cs="仿宋"/>
                <w:b/>
                <w:color w:val="auto"/>
                <w:sz w:val="27"/>
                <w:szCs w:val="27"/>
              </w:rPr>
            </w:pPr>
            <w:r>
              <w:rPr>
                <w:rFonts w:hint="eastAsia" w:ascii="仿宋" w:hAnsi="仿宋" w:eastAsia="仿宋" w:cs="仿宋"/>
                <w:b/>
                <w:color w:val="auto"/>
                <w:sz w:val="27"/>
                <w:szCs w:val="27"/>
                <w:lang w:eastAsia="zh-CN"/>
              </w:rPr>
              <w:t>扣分次数</w:t>
            </w:r>
          </w:p>
        </w:tc>
        <w:tc>
          <w:tcPr>
            <w:tcW w:w="439" w:type="pct"/>
            <w:vAlign w:val="center"/>
          </w:tcPr>
          <w:p w14:paraId="4901EE0E">
            <w:pPr>
              <w:pStyle w:val="11"/>
              <w:autoSpaceDE w:val="0"/>
              <w:autoSpaceDN w:val="0"/>
              <w:spacing w:before="0" w:beforeAutospacing="0" w:after="0" w:afterAutospacing="0" w:line="360" w:lineRule="auto"/>
              <w:jc w:val="center"/>
              <w:rPr>
                <w:rFonts w:ascii="仿宋" w:hAnsi="仿宋" w:eastAsia="仿宋" w:cs="仿宋"/>
                <w:b/>
                <w:color w:val="auto"/>
                <w:sz w:val="27"/>
                <w:szCs w:val="27"/>
              </w:rPr>
            </w:pPr>
            <w:r>
              <w:rPr>
                <w:rFonts w:hint="eastAsia" w:ascii="仿宋" w:hAnsi="仿宋" w:eastAsia="仿宋" w:cs="仿宋"/>
                <w:b/>
                <w:color w:val="auto"/>
                <w:sz w:val="27"/>
                <w:szCs w:val="27"/>
                <w:lang w:eastAsia="zh-CN"/>
              </w:rPr>
              <w:t>扣分合计</w:t>
            </w:r>
          </w:p>
        </w:tc>
      </w:tr>
      <w:tr w14:paraId="247D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4" w:type="pct"/>
            <w:vAlign w:val="center"/>
          </w:tcPr>
          <w:p w14:paraId="698E8615">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1</w:t>
            </w:r>
          </w:p>
        </w:tc>
        <w:tc>
          <w:tcPr>
            <w:tcW w:w="3955" w:type="pct"/>
            <w:vAlign w:val="center"/>
          </w:tcPr>
          <w:p w14:paraId="50A61664">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关键业务系统发生网络安全事件，造成不良影响，出现一次扣10分</w:t>
            </w:r>
          </w:p>
        </w:tc>
        <w:tc>
          <w:tcPr>
            <w:tcW w:w="382" w:type="pct"/>
            <w:vAlign w:val="center"/>
          </w:tcPr>
          <w:p w14:paraId="53AC0360">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0F2B8C81">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364E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4" w:type="pct"/>
            <w:vAlign w:val="center"/>
          </w:tcPr>
          <w:p w14:paraId="4B82F3D9">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2</w:t>
            </w:r>
          </w:p>
        </w:tc>
        <w:tc>
          <w:tcPr>
            <w:tcW w:w="3955" w:type="pct"/>
            <w:vAlign w:val="center"/>
          </w:tcPr>
          <w:p w14:paraId="4AF7B353">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关键业务系统发生网络安全事件，被上级监管部门通报，出现一次扣20分</w:t>
            </w:r>
          </w:p>
        </w:tc>
        <w:tc>
          <w:tcPr>
            <w:tcW w:w="382" w:type="pct"/>
            <w:vAlign w:val="center"/>
          </w:tcPr>
          <w:p w14:paraId="1DC4F3F0">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1296FA49">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03C3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4271895E">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3</w:t>
            </w:r>
          </w:p>
        </w:tc>
        <w:tc>
          <w:tcPr>
            <w:tcW w:w="3955" w:type="pct"/>
            <w:vAlign w:val="center"/>
          </w:tcPr>
          <w:p w14:paraId="72E8E59D">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因技术服务人员不具备相应的工作能力，导致网络安全问题而影响业务的，出现一次扣5分</w:t>
            </w:r>
          </w:p>
        </w:tc>
        <w:tc>
          <w:tcPr>
            <w:tcW w:w="382" w:type="pct"/>
            <w:vAlign w:val="center"/>
          </w:tcPr>
          <w:p w14:paraId="05AD9C67">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334AC547">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5031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69C63527">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4</w:t>
            </w:r>
          </w:p>
        </w:tc>
        <w:tc>
          <w:tcPr>
            <w:tcW w:w="3955" w:type="pct"/>
            <w:vAlign w:val="center"/>
          </w:tcPr>
          <w:p w14:paraId="48E743AE">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未按操作规范及时提供相应交付文档或者提供的交付文档不满足考核单位、上级部门要求的，出现一次扣5分</w:t>
            </w:r>
          </w:p>
        </w:tc>
        <w:tc>
          <w:tcPr>
            <w:tcW w:w="382" w:type="pct"/>
            <w:vAlign w:val="center"/>
          </w:tcPr>
          <w:p w14:paraId="104F080E">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1AB29F70">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7CCB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720879DC">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5</w:t>
            </w:r>
          </w:p>
        </w:tc>
        <w:tc>
          <w:tcPr>
            <w:tcW w:w="3955" w:type="pct"/>
            <w:vAlign w:val="center"/>
          </w:tcPr>
          <w:p w14:paraId="3641E1AE">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因技术服务人员工作态度不端正，被考核单位投诉的，出现一次扣5分</w:t>
            </w:r>
          </w:p>
        </w:tc>
        <w:tc>
          <w:tcPr>
            <w:tcW w:w="382" w:type="pct"/>
            <w:vAlign w:val="center"/>
          </w:tcPr>
          <w:p w14:paraId="55D0CF10">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7B747460">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22A0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4" w:type="pct"/>
            <w:vAlign w:val="center"/>
          </w:tcPr>
          <w:p w14:paraId="0F4A1496">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6</w:t>
            </w:r>
          </w:p>
        </w:tc>
        <w:tc>
          <w:tcPr>
            <w:tcW w:w="3955" w:type="pct"/>
            <w:vAlign w:val="center"/>
          </w:tcPr>
          <w:p w14:paraId="39265C88">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未按要求安排专业人员现场保障，出现一次扣5分</w:t>
            </w:r>
          </w:p>
        </w:tc>
        <w:tc>
          <w:tcPr>
            <w:tcW w:w="382" w:type="pct"/>
            <w:vAlign w:val="center"/>
          </w:tcPr>
          <w:p w14:paraId="086633B8">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2317F5E1">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1B43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24" w:type="pct"/>
            <w:vAlign w:val="center"/>
          </w:tcPr>
          <w:p w14:paraId="3AEF55ED">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7</w:t>
            </w:r>
          </w:p>
        </w:tc>
        <w:tc>
          <w:tcPr>
            <w:tcW w:w="3955" w:type="pct"/>
            <w:vAlign w:val="center"/>
          </w:tcPr>
          <w:p w14:paraId="6354F23F">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未按计划积极开展各项工作，出现一次扣5分</w:t>
            </w:r>
          </w:p>
        </w:tc>
        <w:tc>
          <w:tcPr>
            <w:tcW w:w="382" w:type="pct"/>
            <w:vAlign w:val="center"/>
          </w:tcPr>
          <w:p w14:paraId="626196DC">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2B554D3D">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45B6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24" w:type="pct"/>
            <w:vAlign w:val="center"/>
          </w:tcPr>
          <w:p w14:paraId="5CEF641A">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8</w:t>
            </w:r>
          </w:p>
        </w:tc>
        <w:tc>
          <w:tcPr>
            <w:tcW w:w="3955" w:type="pct"/>
            <w:vAlign w:val="center"/>
          </w:tcPr>
          <w:p w14:paraId="65E159ED">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发生安全事件未按时到现场处理，出现一次扣5分</w:t>
            </w:r>
          </w:p>
        </w:tc>
        <w:tc>
          <w:tcPr>
            <w:tcW w:w="382" w:type="pct"/>
            <w:vAlign w:val="center"/>
          </w:tcPr>
          <w:p w14:paraId="35E32A44">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5DF08ED2">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5E3B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24" w:type="pct"/>
            <w:vAlign w:val="center"/>
          </w:tcPr>
          <w:p w14:paraId="5F3DB0D4">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9</w:t>
            </w:r>
          </w:p>
        </w:tc>
        <w:tc>
          <w:tcPr>
            <w:tcW w:w="3955" w:type="pct"/>
            <w:vAlign w:val="center"/>
          </w:tcPr>
          <w:p w14:paraId="627D78A2">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bidi="ar-SA"/>
              </w:rPr>
            </w:pPr>
            <w:r>
              <w:rPr>
                <w:rFonts w:hint="eastAsia" w:ascii="仿宋" w:hAnsi="仿宋" w:eastAsia="仿宋" w:cs="仿宋"/>
                <w:color w:val="auto"/>
                <w:sz w:val="27"/>
                <w:szCs w:val="27"/>
                <w:lang w:eastAsia="zh-CN"/>
              </w:rPr>
              <w:t>未按合同约定履行服务内容，出现一次扣5分</w:t>
            </w:r>
          </w:p>
        </w:tc>
        <w:tc>
          <w:tcPr>
            <w:tcW w:w="382" w:type="pct"/>
            <w:vAlign w:val="center"/>
          </w:tcPr>
          <w:p w14:paraId="487ADB4F">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39DFFFFC">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5A1D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4" w:type="pct"/>
            <w:vAlign w:val="center"/>
          </w:tcPr>
          <w:p w14:paraId="20384DFF">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1</w:t>
            </w:r>
            <w:r>
              <w:rPr>
                <w:rFonts w:ascii="仿宋" w:hAnsi="仿宋" w:eastAsia="仿宋" w:cs="仿宋"/>
                <w:color w:val="auto"/>
                <w:sz w:val="27"/>
                <w:szCs w:val="27"/>
                <w:lang w:eastAsia="zh-CN"/>
              </w:rPr>
              <w:t>0</w:t>
            </w:r>
          </w:p>
        </w:tc>
        <w:tc>
          <w:tcPr>
            <w:tcW w:w="3955" w:type="pct"/>
            <w:vAlign w:val="center"/>
          </w:tcPr>
          <w:p w14:paraId="19773AE2">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r>
              <w:rPr>
                <w:rFonts w:hint="eastAsia" w:ascii="仿宋" w:hAnsi="仿宋" w:eastAsia="仿宋" w:cs="仿宋"/>
                <w:color w:val="auto"/>
                <w:sz w:val="27"/>
                <w:szCs w:val="27"/>
                <w:lang w:eastAsia="zh-CN"/>
              </w:rPr>
              <w:t>响应时间，年度内未按采购人服务要求在规定时间内及时响应，出现一次扣</w:t>
            </w:r>
            <w:r>
              <w:rPr>
                <w:rFonts w:ascii="仿宋" w:hAnsi="仿宋" w:eastAsia="仿宋" w:cs="仿宋"/>
                <w:color w:val="auto"/>
                <w:sz w:val="27"/>
                <w:szCs w:val="27"/>
                <w:lang w:eastAsia="zh-CN"/>
              </w:rPr>
              <w:t>5</w:t>
            </w:r>
            <w:r>
              <w:rPr>
                <w:rFonts w:hint="eastAsia" w:ascii="仿宋" w:hAnsi="仿宋" w:eastAsia="仿宋" w:cs="仿宋"/>
                <w:color w:val="auto"/>
                <w:sz w:val="27"/>
                <w:szCs w:val="27"/>
                <w:lang w:eastAsia="zh-CN"/>
              </w:rPr>
              <w:t>分</w:t>
            </w:r>
          </w:p>
        </w:tc>
        <w:tc>
          <w:tcPr>
            <w:tcW w:w="382" w:type="pct"/>
            <w:vAlign w:val="center"/>
          </w:tcPr>
          <w:p w14:paraId="4E8B2D92">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vAlign w:val="center"/>
          </w:tcPr>
          <w:p w14:paraId="285ACB84">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2508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179" w:type="pct"/>
            <w:gridSpan w:val="2"/>
            <w:vAlign w:val="center"/>
          </w:tcPr>
          <w:p w14:paraId="20E02C49">
            <w:pPr>
              <w:pStyle w:val="11"/>
              <w:autoSpaceDE w:val="0"/>
              <w:autoSpaceDN w:val="0"/>
              <w:spacing w:before="0" w:beforeAutospacing="0" w:after="0" w:afterAutospacing="0" w:line="360" w:lineRule="auto"/>
              <w:jc w:val="center"/>
              <w:rPr>
                <w:rFonts w:ascii="仿宋" w:hAnsi="仿宋" w:eastAsia="仿宋" w:cs="仿宋"/>
                <w:b/>
                <w:color w:val="auto"/>
                <w:sz w:val="27"/>
                <w:szCs w:val="27"/>
                <w:lang w:eastAsia="zh-CN"/>
              </w:rPr>
            </w:pPr>
            <w:r>
              <w:rPr>
                <w:rFonts w:hint="eastAsia" w:ascii="仿宋" w:hAnsi="仿宋" w:eastAsia="仿宋" w:cs="仿宋"/>
                <w:b/>
                <w:color w:val="auto"/>
                <w:sz w:val="27"/>
                <w:szCs w:val="27"/>
                <w:lang w:eastAsia="zh-CN"/>
              </w:rPr>
              <w:t>总计</w:t>
            </w:r>
          </w:p>
        </w:tc>
        <w:tc>
          <w:tcPr>
            <w:tcW w:w="382" w:type="pct"/>
          </w:tcPr>
          <w:p w14:paraId="57428A7D">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c>
          <w:tcPr>
            <w:tcW w:w="439" w:type="pct"/>
          </w:tcPr>
          <w:p w14:paraId="712369EE">
            <w:pPr>
              <w:pStyle w:val="11"/>
              <w:autoSpaceDE w:val="0"/>
              <w:autoSpaceDN w:val="0"/>
              <w:spacing w:before="0" w:beforeAutospacing="0" w:after="0" w:afterAutospacing="0" w:line="360" w:lineRule="auto"/>
              <w:jc w:val="center"/>
              <w:rPr>
                <w:rFonts w:ascii="仿宋" w:hAnsi="仿宋" w:eastAsia="仿宋" w:cs="仿宋"/>
                <w:color w:val="auto"/>
                <w:sz w:val="27"/>
                <w:szCs w:val="27"/>
                <w:lang w:eastAsia="zh-CN"/>
              </w:rPr>
            </w:pPr>
          </w:p>
        </w:tc>
      </w:tr>
      <w:tr w14:paraId="24ED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000" w:type="pct"/>
            <w:gridSpan w:val="4"/>
            <w:vAlign w:val="center"/>
          </w:tcPr>
          <w:p w14:paraId="1C5AEA50">
            <w:pPr>
              <w:pStyle w:val="11"/>
              <w:autoSpaceDE w:val="0"/>
              <w:autoSpaceDN w:val="0"/>
              <w:spacing w:before="0" w:beforeAutospacing="0" w:after="0" w:afterAutospacing="0" w:line="360" w:lineRule="auto"/>
              <w:rPr>
                <w:rFonts w:ascii="仿宋" w:hAnsi="仿宋" w:eastAsia="仿宋" w:cs="仿宋"/>
                <w:color w:val="auto"/>
                <w:sz w:val="27"/>
                <w:szCs w:val="27"/>
                <w:lang w:eastAsia="zh-CN"/>
              </w:rPr>
            </w:pPr>
            <w:r>
              <w:rPr>
                <w:rFonts w:hint="eastAsia" w:ascii="仿宋" w:hAnsi="仿宋" w:eastAsia="仿宋" w:cs="仿宋"/>
                <w:b/>
                <w:color w:val="auto"/>
                <w:sz w:val="27"/>
                <w:szCs w:val="27"/>
                <w:lang w:eastAsia="zh-CN"/>
              </w:rPr>
              <w:t>评价意见：</w:t>
            </w:r>
          </w:p>
        </w:tc>
      </w:tr>
      <w:tr w14:paraId="62C6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000" w:type="pct"/>
            <w:gridSpan w:val="4"/>
            <w:vAlign w:val="center"/>
          </w:tcPr>
          <w:p w14:paraId="627B2D50">
            <w:pPr>
              <w:pStyle w:val="11"/>
              <w:autoSpaceDE w:val="0"/>
              <w:autoSpaceDN w:val="0"/>
              <w:spacing w:before="0" w:beforeAutospacing="0" w:after="0" w:afterAutospacing="0" w:line="360" w:lineRule="auto"/>
              <w:rPr>
                <w:rFonts w:ascii="仿宋" w:hAnsi="仿宋" w:eastAsia="仿宋" w:cs="仿宋"/>
                <w:b/>
                <w:color w:val="auto"/>
                <w:sz w:val="27"/>
                <w:szCs w:val="27"/>
                <w:lang w:eastAsia="zh-CN"/>
              </w:rPr>
            </w:pPr>
            <w:r>
              <w:rPr>
                <w:rFonts w:hint="eastAsia" w:ascii="仿宋" w:hAnsi="仿宋" w:eastAsia="仿宋" w:cs="仿宋"/>
                <w:b/>
                <w:color w:val="auto"/>
                <w:sz w:val="27"/>
                <w:szCs w:val="27"/>
                <w:lang w:eastAsia="zh-CN"/>
              </w:rPr>
              <w:t xml:space="preserve">考核人员签名： </w:t>
            </w:r>
            <w:r>
              <w:rPr>
                <w:rFonts w:ascii="仿宋" w:hAnsi="仿宋" w:eastAsia="仿宋" w:cs="仿宋"/>
                <w:b/>
                <w:color w:val="auto"/>
                <w:sz w:val="27"/>
                <w:szCs w:val="27"/>
                <w:lang w:eastAsia="zh-CN"/>
              </w:rPr>
              <w:t xml:space="preserve">                                         </w:t>
            </w:r>
            <w:r>
              <w:rPr>
                <w:rFonts w:hint="eastAsia" w:ascii="仿宋" w:hAnsi="仿宋" w:eastAsia="仿宋" w:cs="仿宋"/>
                <w:b/>
                <w:color w:val="auto"/>
                <w:sz w:val="27"/>
                <w:szCs w:val="27"/>
                <w:lang w:eastAsia="zh-CN"/>
              </w:rPr>
              <w:t>日期：</w:t>
            </w:r>
          </w:p>
        </w:tc>
      </w:tr>
      <w:tr w14:paraId="1149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000" w:type="pct"/>
            <w:gridSpan w:val="4"/>
            <w:vAlign w:val="center"/>
          </w:tcPr>
          <w:p w14:paraId="76DB43F5">
            <w:pPr>
              <w:pStyle w:val="11"/>
              <w:autoSpaceDE w:val="0"/>
              <w:autoSpaceDN w:val="0"/>
              <w:spacing w:before="0" w:beforeAutospacing="0" w:after="0" w:afterAutospacing="0" w:line="360" w:lineRule="auto"/>
              <w:rPr>
                <w:rFonts w:ascii="仿宋" w:hAnsi="仿宋" w:eastAsia="仿宋" w:cs="仿宋"/>
                <w:b/>
                <w:color w:val="auto"/>
                <w:sz w:val="27"/>
                <w:szCs w:val="27"/>
                <w:lang w:eastAsia="zh-CN"/>
              </w:rPr>
            </w:pPr>
            <w:r>
              <w:rPr>
                <w:rFonts w:hint="eastAsia" w:ascii="仿宋" w:hAnsi="仿宋" w:eastAsia="仿宋" w:cs="仿宋"/>
                <w:b/>
                <w:color w:val="auto"/>
                <w:sz w:val="27"/>
                <w:szCs w:val="27"/>
                <w:lang w:eastAsia="zh-CN"/>
              </w:rPr>
              <w:t xml:space="preserve">被考核方负责人签名： </w:t>
            </w:r>
            <w:r>
              <w:rPr>
                <w:rFonts w:ascii="仿宋" w:hAnsi="仿宋" w:eastAsia="仿宋" w:cs="仿宋"/>
                <w:b/>
                <w:color w:val="auto"/>
                <w:sz w:val="27"/>
                <w:szCs w:val="27"/>
                <w:lang w:eastAsia="zh-CN"/>
              </w:rPr>
              <w:t xml:space="preserve">                                   </w:t>
            </w:r>
            <w:r>
              <w:rPr>
                <w:rFonts w:hint="eastAsia" w:ascii="仿宋" w:hAnsi="仿宋" w:eastAsia="仿宋" w:cs="仿宋"/>
                <w:b/>
                <w:color w:val="auto"/>
                <w:sz w:val="27"/>
                <w:szCs w:val="27"/>
                <w:lang w:eastAsia="zh-CN"/>
              </w:rPr>
              <w:t>日期</w:t>
            </w:r>
          </w:p>
        </w:tc>
      </w:tr>
    </w:tbl>
    <w:p w14:paraId="0018CBF6">
      <w:pPr>
        <w:spacing w:line="480" w:lineRule="exact"/>
        <w:ind w:firstLine="540" w:firstLineChars="200"/>
        <w:rPr>
          <w:rFonts w:ascii="仿宋" w:hAnsi="仿宋" w:eastAsia="仿宋" w:cs="仿宋"/>
          <w:bCs/>
          <w:sz w:val="27"/>
          <w:szCs w:val="27"/>
        </w:rPr>
      </w:pPr>
      <w:r>
        <w:rPr>
          <w:rFonts w:hint="eastAsia" w:ascii="仿宋" w:hAnsi="仿宋" w:eastAsia="仿宋" w:cs="仿宋"/>
          <w:bCs/>
          <w:sz w:val="27"/>
          <w:szCs w:val="27"/>
        </w:rPr>
        <w:t>注:1、每扣1分扣除500元。2、采购人对成交供应商的服务情况每季度进行考核。考核后采购人将考核结果告知成交供应商，成交供应商应在收到考核结果五个工作日内进行确认，超时未确认且未提出异议的视同成交供应商同意考核结果。</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6159E"/>
    <w:multiLevelType w:val="singleLevel"/>
    <w:tmpl w:val="B906159E"/>
    <w:lvl w:ilvl="0" w:tentative="0">
      <w:start w:val="1"/>
      <w:numFmt w:val="decimal"/>
      <w:pStyle w:val="20"/>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2MWMwMDMxYjhjNjI3YzUxODZiZDg4MmUzMTNiYjAifQ=="/>
  </w:docVars>
  <w:rsids>
    <w:rsidRoot w:val="FEE38647"/>
    <w:rsid w:val="00035B9C"/>
    <w:rsid w:val="00043C9D"/>
    <w:rsid w:val="0004547E"/>
    <w:rsid w:val="00061B6D"/>
    <w:rsid w:val="00067303"/>
    <w:rsid w:val="00081835"/>
    <w:rsid w:val="0009303F"/>
    <w:rsid w:val="00094541"/>
    <w:rsid w:val="0009457F"/>
    <w:rsid w:val="00096B10"/>
    <w:rsid w:val="000A0217"/>
    <w:rsid w:val="000A2619"/>
    <w:rsid w:val="000A51FD"/>
    <w:rsid w:val="000B2ACF"/>
    <w:rsid w:val="000C526E"/>
    <w:rsid w:val="00113929"/>
    <w:rsid w:val="001303A0"/>
    <w:rsid w:val="00136488"/>
    <w:rsid w:val="00157565"/>
    <w:rsid w:val="00172968"/>
    <w:rsid w:val="00192632"/>
    <w:rsid w:val="001A0486"/>
    <w:rsid w:val="001B2C48"/>
    <w:rsid w:val="001C3400"/>
    <w:rsid w:val="001D545A"/>
    <w:rsid w:val="002012E7"/>
    <w:rsid w:val="002134EE"/>
    <w:rsid w:val="0021794F"/>
    <w:rsid w:val="00235626"/>
    <w:rsid w:val="00243FA0"/>
    <w:rsid w:val="00254FBA"/>
    <w:rsid w:val="00280B83"/>
    <w:rsid w:val="00287E0B"/>
    <w:rsid w:val="002922C2"/>
    <w:rsid w:val="00292DAD"/>
    <w:rsid w:val="00296A0F"/>
    <w:rsid w:val="002C138E"/>
    <w:rsid w:val="002D30A0"/>
    <w:rsid w:val="00317722"/>
    <w:rsid w:val="00324379"/>
    <w:rsid w:val="00324E41"/>
    <w:rsid w:val="003377A5"/>
    <w:rsid w:val="00355A6C"/>
    <w:rsid w:val="00360A5C"/>
    <w:rsid w:val="003A2C28"/>
    <w:rsid w:val="003B2239"/>
    <w:rsid w:val="003B29C0"/>
    <w:rsid w:val="003B444F"/>
    <w:rsid w:val="003E69CC"/>
    <w:rsid w:val="003F7C97"/>
    <w:rsid w:val="00412A9A"/>
    <w:rsid w:val="0041358E"/>
    <w:rsid w:val="00421B0E"/>
    <w:rsid w:val="004804D2"/>
    <w:rsid w:val="00483A57"/>
    <w:rsid w:val="004A27BA"/>
    <w:rsid w:val="004C7DF1"/>
    <w:rsid w:val="004D3791"/>
    <w:rsid w:val="004D6B17"/>
    <w:rsid w:val="004F240D"/>
    <w:rsid w:val="004F3296"/>
    <w:rsid w:val="004F5FA4"/>
    <w:rsid w:val="00505183"/>
    <w:rsid w:val="00507F0C"/>
    <w:rsid w:val="00521340"/>
    <w:rsid w:val="00543609"/>
    <w:rsid w:val="005535F9"/>
    <w:rsid w:val="0058582F"/>
    <w:rsid w:val="005D77EA"/>
    <w:rsid w:val="005F0E5C"/>
    <w:rsid w:val="005F5A71"/>
    <w:rsid w:val="006535A4"/>
    <w:rsid w:val="006544CC"/>
    <w:rsid w:val="006604DC"/>
    <w:rsid w:val="00680F08"/>
    <w:rsid w:val="00683D6B"/>
    <w:rsid w:val="00686840"/>
    <w:rsid w:val="00691A10"/>
    <w:rsid w:val="006A1BFD"/>
    <w:rsid w:val="006E398A"/>
    <w:rsid w:val="006E4A62"/>
    <w:rsid w:val="00716FA7"/>
    <w:rsid w:val="00747EDB"/>
    <w:rsid w:val="007562BD"/>
    <w:rsid w:val="007569A5"/>
    <w:rsid w:val="00767AC9"/>
    <w:rsid w:val="00781347"/>
    <w:rsid w:val="00782BEC"/>
    <w:rsid w:val="007A108D"/>
    <w:rsid w:val="007C110A"/>
    <w:rsid w:val="007D43BA"/>
    <w:rsid w:val="007E3549"/>
    <w:rsid w:val="007E7E87"/>
    <w:rsid w:val="007F594A"/>
    <w:rsid w:val="00810E65"/>
    <w:rsid w:val="00813414"/>
    <w:rsid w:val="00814982"/>
    <w:rsid w:val="008212BC"/>
    <w:rsid w:val="00832A57"/>
    <w:rsid w:val="00890800"/>
    <w:rsid w:val="00894DBA"/>
    <w:rsid w:val="00895CDA"/>
    <w:rsid w:val="008B5FB5"/>
    <w:rsid w:val="00900A24"/>
    <w:rsid w:val="00914D72"/>
    <w:rsid w:val="00915D30"/>
    <w:rsid w:val="0091744F"/>
    <w:rsid w:val="00926FA2"/>
    <w:rsid w:val="00967865"/>
    <w:rsid w:val="009B2CF0"/>
    <w:rsid w:val="00A010BF"/>
    <w:rsid w:val="00A0323E"/>
    <w:rsid w:val="00A10CC4"/>
    <w:rsid w:val="00A2368F"/>
    <w:rsid w:val="00A40D10"/>
    <w:rsid w:val="00A425B4"/>
    <w:rsid w:val="00A664D9"/>
    <w:rsid w:val="00A738AC"/>
    <w:rsid w:val="00A75668"/>
    <w:rsid w:val="00A938D5"/>
    <w:rsid w:val="00AB2B91"/>
    <w:rsid w:val="00AC0A20"/>
    <w:rsid w:val="00AD0FCF"/>
    <w:rsid w:val="00AE3D01"/>
    <w:rsid w:val="00AE7048"/>
    <w:rsid w:val="00AF274D"/>
    <w:rsid w:val="00AF5070"/>
    <w:rsid w:val="00B0328B"/>
    <w:rsid w:val="00B04EEE"/>
    <w:rsid w:val="00B27E13"/>
    <w:rsid w:val="00B46F4F"/>
    <w:rsid w:val="00B57C25"/>
    <w:rsid w:val="00BC7446"/>
    <w:rsid w:val="00BD1CB8"/>
    <w:rsid w:val="00BD25B9"/>
    <w:rsid w:val="00BD7B87"/>
    <w:rsid w:val="00BF563D"/>
    <w:rsid w:val="00BF60D4"/>
    <w:rsid w:val="00C13E22"/>
    <w:rsid w:val="00C22CA2"/>
    <w:rsid w:val="00C26433"/>
    <w:rsid w:val="00C35402"/>
    <w:rsid w:val="00C5775E"/>
    <w:rsid w:val="00CA0651"/>
    <w:rsid w:val="00CA63EE"/>
    <w:rsid w:val="00CC6ABF"/>
    <w:rsid w:val="00CC7137"/>
    <w:rsid w:val="00CE1F92"/>
    <w:rsid w:val="00CE324F"/>
    <w:rsid w:val="00D04A5B"/>
    <w:rsid w:val="00D50DBD"/>
    <w:rsid w:val="00D527C2"/>
    <w:rsid w:val="00D613AE"/>
    <w:rsid w:val="00D70860"/>
    <w:rsid w:val="00D806B1"/>
    <w:rsid w:val="00DC338D"/>
    <w:rsid w:val="00DF5C96"/>
    <w:rsid w:val="00E26412"/>
    <w:rsid w:val="00E45B42"/>
    <w:rsid w:val="00E63DCE"/>
    <w:rsid w:val="00E80634"/>
    <w:rsid w:val="00E832AC"/>
    <w:rsid w:val="00EA205C"/>
    <w:rsid w:val="00EF3F1D"/>
    <w:rsid w:val="00F015E0"/>
    <w:rsid w:val="00F43797"/>
    <w:rsid w:val="00F77949"/>
    <w:rsid w:val="00F80D91"/>
    <w:rsid w:val="00F83694"/>
    <w:rsid w:val="00F900D8"/>
    <w:rsid w:val="00FE1359"/>
    <w:rsid w:val="00FF2BEA"/>
    <w:rsid w:val="00FF379B"/>
    <w:rsid w:val="01E06AB6"/>
    <w:rsid w:val="021533E7"/>
    <w:rsid w:val="02184C85"/>
    <w:rsid w:val="02697954"/>
    <w:rsid w:val="02A00A72"/>
    <w:rsid w:val="02E269AB"/>
    <w:rsid w:val="03243840"/>
    <w:rsid w:val="03402295"/>
    <w:rsid w:val="04B20C32"/>
    <w:rsid w:val="05100B54"/>
    <w:rsid w:val="05E74E14"/>
    <w:rsid w:val="06552CC7"/>
    <w:rsid w:val="071973E6"/>
    <w:rsid w:val="07A8669E"/>
    <w:rsid w:val="07AB012E"/>
    <w:rsid w:val="07DD07C1"/>
    <w:rsid w:val="08386081"/>
    <w:rsid w:val="08A34DB8"/>
    <w:rsid w:val="08FF1C22"/>
    <w:rsid w:val="0991353D"/>
    <w:rsid w:val="0B5331D2"/>
    <w:rsid w:val="0C9E047D"/>
    <w:rsid w:val="0D441E2F"/>
    <w:rsid w:val="0E9B1118"/>
    <w:rsid w:val="0EA917EE"/>
    <w:rsid w:val="0FB3423F"/>
    <w:rsid w:val="11FB7BA1"/>
    <w:rsid w:val="1275603D"/>
    <w:rsid w:val="128A2626"/>
    <w:rsid w:val="12FA1B61"/>
    <w:rsid w:val="138E0158"/>
    <w:rsid w:val="13B67771"/>
    <w:rsid w:val="13D44784"/>
    <w:rsid w:val="14794F90"/>
    <w:rsid w:val="14B531C8"/>
    <w:rsid w:val="16376D26"/>
    <w:rsid w:val="16B03286"/>
    <w:rsid w:val="16C15E72"/>
    <w:rsid w:val="18AD4207"/>
    <w:rsid w:val="19157485"/>
    <w:rsid w:val="1A25024C"/>
    <w:rsid w:val="1A637A45"/>
    <w:rsid w:val="1A94296D"/>
    <w:rsid w:val="1BEA685E"/>
    <w:rsid w:val="1C283F50"/>
    <w:rsid w:val="1DF758D1"/>
    <w:rsid w:val="1EEA76FA"/>
    <w:rsid w:val="1F140253"/>
    <w:rsid w:val="1FA94D17"/>
    <w:rsid w:val="1FD73337"/>
    <w:rsid w:val="20D425A5"/>
    <w:rsid w:val="22C7398D"/>
    <w:rsid w:val="236543D4"/>
    <w:rsid w:val="24637B3B"/>
    <w:rsid w:val="253C4239"/>
    <w:rsid w:val="26977FBF"/>
    <w:rsid w:val="26B41D21"/>
    <w:rsid w:val="27500A8C"/>
    <w:rsid w:val="28654D8D"/>
    <w:rsid w:val="28AF34F5"/>
    <w:rsid w:val="2908648D"/>
    <w:rsid w:val="2989704D"/>
    <w:rsid w:val="2A044305"/>
    <w:rsid w:val="2B1A62A5"/>
    <w:rsid w:val="2C221238"/>
    <w:rsid w:val="2C584F53"/>
    <w:rsid w:val="2D404F0C"/>
    <w:rsid w:val="2F8679E0"/>
    <w:rsid w:val="2F8D7640"/>
    <w:rsid w:val="30C60D99"/>
    <w:rsid w:val="312468F3"/>
    <w:rsid w:val="315C727B"/>
    <w:rsid w:val="31B859B9"/>
    <w:rsid w:val="31CF4AB1"/>
    <w:rsid w:val="32EF2E0A"/>
    <w:rsid w:val="33701712"/>
    <w:rsid w:val="33DF717A"/>
    <w:rsid w:val="34680C9E"/>
    <w:rsid w:val="348C0A37"/>
    <w:rsid w:val="359E6EE0"/>
    <w:rsid w:val="35D05C27"/>
    <w:rsid w:val="36414C8A"/>
    <w:rsid w:val="36575075"/>
    <w:rsid w:val="367652AD"/>
    <w:rsid w:val="36EE3C2B"/>
    <w:rsid w:val="389E1575"/>
    <w:rsid w:val="39A74D48"/>
    <w:rsid w:val="39C11183"/>
    <w:rsid w:val="39EA2B88"/>
    <w:rsid w:val="3A373EB7"/>
    <w:rsid w:val="3A962ABD"/>
    <w:rsid w:val="3C122955"/>
    <w:rsid w:val="3C222894"/>
    <w:rsid w:val="3C2A0F23"/>
    <w:rsid w:val="3C8D005F"/>
    <w:rsid w:val="3EAA6E99"/>
    <w:rsid w:val="3EC65EA9"/>
    <w:rsid w:val="3EE56236"/>
    <w:rsid w:val="3EF942A0"/>
    <w:rsid w:val="3F0727AE"/>
    <w:rsid w:val="3F847EAD"/>
    <w:rsid w:val="40432779"/>
    <w:rsid w:val="40D83FA5"/>
    <w:rsid w:val="411F4E11"/>
    <w:rsid w:val="418C5B89"/>
    <w:rsid w:val="420C4AC6"/>
    <w:rsid w:val="4260101E"/>
    <w:rsid w:val="4344745B"/>
    <w:rsid w:val="43806DEE"/>
    <w:rsid w:val="439F42C5"/>
    <w:rsid w:val="43FE3539"/>
    <w:rsid w:val="44130575"/>
    <w:rsid w:val="44C304A5"/>
    <w:rsid w:val="44F92119"/>
    <w:rsid w:val="467D65BF"/>
    <w:rsid w:val="46D21304"/>
    <w:rsid w:val="474039AC"/>
    <w:rsid w:val="478355AA"/>
    <w:rsid w:val="488B6BC1"/>
    <w:rsid w:val="48E83619"/>
    <w:rsid w:val="497A75A0"/>
    <w:rsid w:val="4B232DA2"/>
    <w:rsid w:val="4B49105B"/>
    <w:rsid w:val="4B9C5B67"/>
    <w:rsid w:val="4BEE22C7"/>
    <w:rsid w:val="4C5E2F58"/>
    <w:rsid w:val="4D2372C5"/>
    <w:rsid w:val="4DC1026C"/>
    <w:rsid w:val="4F9D72FD"/>
    <w:rsid w:val="4FE17A31"/>
    <w:rsid w:val="4FEB0885"/>
    <w:rsid w:val="5294577D"/>
    <w:rsid w:val="52AA1E6A"/>
    <w:rsid w:val="52AE4A26"/>
    <w:rsid w:val="53F84463"/>
    <w:rsid w:val="543F741C"/>
    <w:rsid w:val="559E0172"/>
    <w:rsid w:val="55DC5746"/>
    <w:rsid w:val="568E619C"/>
    <w:rsid w:val="56A826AF"/>
    <w:rsid w:val="56BE6B0F"/>
    <w:rsid w:val="56E62340"/>
    <w:rsid w:val="57073566"/>
    <w:rsid w:val="57CE29D6"/>
    <w:rsid w:val="580E5A83"/>
    <w:rsid w:val="581220B4"/>
    <w:rsid w:val="58506956"/>
    <w:rsid w:val="588703C3"/>
    <w:rsid w:val="58BD6507"/>
    <w:rsid w:val="5A0438B6"/>
    <w:rsid w:val="5A2546D7"/>
    <w:rsid w:val="5A5A528C"/>
    <w:rsid w:val="5AB82E2B"/>
    <w:rsid w:val="5AEB7939"/>
    <w:rsid w:val="5AF30F60"/>
    <w:rsid w:val="5BDAC157"/>
    <w:rsid w:val="5C0A7FBB"/>
    <w:rsid w:val="5DE26891"/>
    <w:rsid w:val="5EAB479B"/>
    <w:rsid w:val="60DA4B7E"/>
    <w:rsid w:val="613E576C"/>
    <w:rsid w:val="62050071"/>
    <w:rsid w:val="631E32FC"/>
    <w:rsid w:val="635721FA"/>
    <w:rsid w:val="63BF0040"/>
    <w:rsid w:val="64E2007C"/>
    <w:rsid w:val="65AC068A"/>
    <w:rsid w:val="6656023A"/>
    <w:rsid w:val="66DD77E5"/>
    <w:rsid w:val="680B78E9"/>
    <w:rsid w:val="680D76E2"/>
    <w:rsid w:val="6892087C"/>
    <w:rsid w:val="696F1BBC"/>
    <w:rsid w:val="6A042FA5"/>
    <w:rsid w:val="6A4833F2"/>
    <w:rsid w:val="6B0A68FA"/>
    <w:rsid w:val="6BD539A4"/>
    <w:rsid w:val="6C066D46"/>
    <w:rsid w:val="6D12465E"/>
    <w:rsid w:val="6D983D3D"/>
    <w:rsid w:val="6DA85BDA"/>
    <w:rsid w:val="6ECF78C3"/>
    <w:rsid w:val="6EE31FBB"/>
    <w:rsid w:val="6F155FAA"/>
    <w:rsid w:val="6F7E7B76"/>
    <w:rsid w:val="6F8F7C46"/>
    <w:rsid w:val="6FAC19B2"/>
    <w:rsid w:val="702B4172"/>
    <w:rsid w:val="7055216E"/>
    <w:rsid w:val="70586DE1"/>
    <w:rsid w:val="70F058CE"/>
    <w:rsid w:val="71AF14EE"/>
    <w:rsid w:val="71EA59F0"/>
    <w:rsid w:val="73046A1C"/>
    <w:rsid w:val="748E78D8"/>
    <w:rsid w:val="74AA593F"/>
    <w:rsid w:val="75267A32"/>
    <w:rsid w:val="75784760"/>
    <w:rsid w:val="762304F4"/>
    <w:rsid w:val="768734D2"/>
    <w:rsid w:val="76FF2D0F"/>
    <w:rsid w:val="77586BE8"/>
    <w:rsid w:val="77721CCF"/>
    <w:rsid w:val="78055AEC"/>
    <w:rsid w:val="786825DF"/>
    <w:rsid w:val="787119EB"/>
    <w:rsid w:val="7A696EF9"/>
    <w:rsid w:val="7ACF5160"/>
    <w:rsid w:val="7B6F74FF"/>
    <w:rsid w:val="7B841A35"/>
    <w:rsid w:val="7BE34CD3"/>
    <w:rsid w:val="7D7541E1"/>
    <w:rsid w:val="7DA71A0B"/>
    <w:rsid w:val="7DCE22D9"/>
    <w:rsid w:val="7EF42A2E"/>
    <w:rsid w:val="7EFF0E01"/>
    <w:rsid w:val="7FCE691B"/>
    <w:rsid w:val="DBE0756F"/>
    <w:rsid w:val="E91F2ED7"/>
    <w:rsid w:val="FCAD8F5E"/>
    <w:rsid w:val="FDCF72A3"/>
    <w:rsid w:val="FEE38647"/>
    <w:rsid w:val="FFBD27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DejaVu Sans" w:hAnsi="DejaVu Sans" w:eastAsia="方正黑体_GBK"/>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rPr>
      <w:kern w:val="0"/>
      <w:sz w:val="20"/>
    </w:rPr>
  </w:style>
  <w:style w:type="paragraph" w:styleId="5">
    <w:name w:val="Body Text"/>
    <w:basedOn w:val="1"/>
    <w:next w:val="1"/>
    <w:qFormat/>
    <w:uiPriority w:val="1"/>
    <w:pPr>
      <w:spacing w:after="120"/>
    </w:pPr>
    <w:rPr>
      <w:kern w:val="0"/>
      <w:sz w:val="20"/>
    </w:rPr>
  </w:style>
  <w:style w:type="paragraph" w:styleId="6">
    <w:name w:val="Body Text Indent"/>
    <w:basedOn w:val="1"/>
    <w:qFormat/>
    <w:uiPriority w:val="0"/>
    <w:pPr>
      <w:ind w:firstLine="501" w:firstLineChars="179"/>
    </w:pPr>
    <w:rPr>
      <w:sz w:val="28"/>
    </w:rPr>
  </w:style>
  <w:style w:type="paragraph" w:styleId="7">
    <w:name w:val="Plain Text"/>
    <w:basedOn w:val="1"/>
    <w:qFormat/>
    <w:uiPriority w:val="0"/>
    <w:rPr>
      <w:rFonts w:ascii="宋体" w:hAnsi="Courier New"/>
      <w:szCs w:val="20"/>
    </w:rPr>
  </w:style>
  <w:style w:type="paragraph" w:styleId="8">
    <w:name w:val="Balloon Text"/>
    <w:basedOn w:val="1"/>
    <w:link w:val="17"/>
    <w:qFormat/>
    <w:uiPriority w:val="0"/>
    <w:rPr>
      <w:sz w:val="18"/>
      <w:szCs w:val="18"/>
    </w:rPr>
  </w:style>
  <w:style w:type="paragraph" w:styleId="9">
    <w:name w:val="footer"/>
    <w:basedOn w:val="1"/>
    <w:link w:val="25"/>
    <w:qFormat/>
    <w:uiPriority w:val="0"/>
    <w:pPr>
      <w:tabs>
        <w:tab w:val="center" w:pos="4153"/>
        <w:tab w:val="right" w:pos="8306"/>
      </w:tabs>
      <w:snapToGrid w:val="0"/>
      <w:spacing w:line="240" w:lineRule="auto"/>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widowControl/>
      <w:spacing w:before="100" w:beforeAutospacing="1" w:after="100" w:afterAutospacing="1" w:line="240" w:lineRule="auto"/>
      <w:jc w:val="left"/>
    </w:pPr>
    <w:rPr>
      <w:rFonts w:ascii="宋体" w:hAnsi="宋体" w:eastAsia="Times New Roman" w:cs="宋体"/>
      <w:color w:val="000000"/>
      <w:kern w:val="0"/>
      <w:sz w:val="24"/>
      <w:lang w:eastAsia="en-US" w:bidi="en-US"/>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_Style 2"/>
    <w:qFormat/>
    <w:uiPriority w:val="1"/>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customStyle="1" w:styleId="17">
    <w:name w:val="批注框文本 字符"/>
    <w:basedOn w:val="15"/>
    <w:link w:val="8"/>
    <w:qFormat/>
    <w:uiPriority w:val="0"/>
    <w:rPr>
      <w:kern w:val="2"/>
      <w:sz w:val="18"/>
      <w:szCs w:val="18"/>
    </w:rPr>
  </w:style>
  <w:style w:type="character" w:customStyle="1" w:styleId="18">
    <w:name w:val="font21"/>
    <w:basedOn w:val="15"/>
    <w:qFormat/>
    <w:uiPriority w:val="0"/>
    <w:rPr>
      <w:rFonts w:hint="eastAsia" w:ascii="仿宋" w:hAnsi="仿宋" w:eastAsia="仿宋" w:cs="仿宋"/>
      <w:b/>
      <w:bCs/>
      <w:color w:val="000000"/>
      <w:sz w:val="20"/>
      <w:szCs w:val="20"/>
      <w:u w:val="none"/>
    </w:rPr>
  </w:style>
  <w:style w:type="paragraph" w:customStyle="1" w:styleId="19">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20">
    <w:name w:val="List Paragraph"/>
    <w:basedOn w:val="1"/>
    <w:autoRedefine/>
    <w:qFormat/>
    <w:uiPriority w:val="34"/>
    <w:pPr>
      <w:widowControl/>
      <w:numPr>
        <w:ilvl w:val="0"/>
        <w:numId w:val="1"/>
      </w:numPr>
      <w:ind w:firstLine="420"/>
      <w:jc w:val="left"/>
      <w:textAlignment w:val="center"/>
    </w:pPr>
  </w:style>
  <w:style w:type="paragraph" w:customStyle="1" w:styleId="21">
    <w:name w:val="列表段落1"/>
    <w:basedOn w:val="1"/>
    <w:qFormat/>
    <w:uiPriority w:val="34"/>
    <w:pPr>
      <w:ind w:firstLine="420" w:firstLineChars="200"/>
    </w:pPr>
    <w:rPr>
      <w:rFonts w:ascii="Times New Roman" w:hAnsi="Times New Roman" w:eastAsia="宋体" w:cs="Times New Roman"/>
    </w:rPr>
  </w:style>
  <w:style w:type="paragraph" w:customStyle="1" w:styleId="22">
    <w:name w:val="正文标准样式ty"/>
    <w:basedOn w:val="1"/>
    <w:qFormat/>
    <w:uiPriority w:val="0"/>
    <w:pPr>
      <w:spacing w:line="360" w:lineRule="auto"/>
      <w:ind w:firstLine="480" w:firstLineChars="200"/>
    </w:pPr>
    <w:rPr>
      <w:rFonts w:ascii="Times New Roman" w:hAnsi="Times New Roman" w:cs="宋体"/>
      <w:sz w:val="24"/>
    </w:rPr>
  </w:style>
  <w:style w:type="paragraph" w:customStyle="1" w:styleId="23">
    <w:name w:val="Body text|1"/>
    <w:basedOn w:val="1"/>
    <w:qFormat/>
    <w:uiPriority w:val="0"/>
    <w:pPr>
      <w:spacing w:after="0" w:line="444" w:lineRule="auto"/>
      <w:jc w:val="left"/>
    </w:pPr>
    <w:rPr>
      <w:rFonts w:ascii="宋体" w:hAnsi="宋体" w:eastAsia="宋体" w:cs="宋体"/>
      <w:color w:val="000000"/>
      <w:kern w:val="0"/>
      <w:sz w:val="30"/>
      <w:szCs w:val="30"/>
      <w:lang w:val="zh-TW" w:eastAsia="zh-TW" w:bidi="zh-TW"/>
    </w:rPr>
  </w:style>
  <w:style w:type="character" w:customStyle="1" w:styleId="24">
    <w:name w:val="页眉 字符"/>
    <w:basedOn w:val="15"/>
    <w:link w:val="10"/>
    <w:qFormat/>
    <w:uiPriority w:val="0"/>
    <w:rPr>
      <w:rFonts w:asciiTheme="minorHAnsi" w:hAnsiTheme="minorHAnsi" w:eastAsiaTheme="minorEastAsia" w:cstheme="minorBidi"/>
      <w:kern w:val="2"/>
      <w:sz w:val="18"/>
      <w:szCs w:val="18"/>
    </w:rPr>
  </w:style>
  <w:style w:type="character" w:customStyle="1" w:styleId="25">
    <w:name w:val="页脚 字符"/>
    <w:basedOn w:val="15"/>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7087</Words>
  <Characters>7446</Characters>
  <Lines>56</Lines>
  <Paragraphs>15</Paragraphs>
  <TotalTime>5</TotalTime>
  <ScaleCrop>false</ScaleCrop>
  <LinksUpToDate>false</LinksUpToDate>
  <CharactersWithSpaces>7536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2020-12-04T17:02:00Z</dcterms:created>
  <dc:creator>qpn</dc:creator>
  <cp:lastModifiedBy>慕幕</cp:lastModifiedBy>
  <cp:lastPrinted>2024-11-12T10:51:00Z</cp:lastPrinted>
  <dcterms:modified xsi:type="dcterms:W3CDTF">2026-04-07T08:41:37Z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BBE0F26E380E40C89F06E4C62F4C9F67_13</vt:lpwstr>
  </property>
  <property fmtid="{D5CDD505-2E9C-101B-9397-08002B2CF9AE}" pid="4" name="KSOTemplateDocerSaveRecord">
    <vt:lpwstr>eyJoZGlkIjoiMjY2NGZhNWZjZDg0OTc5YTUwMzBhMWZjYzUxMTdlYjYiLCJ1c2VySWQiOiI0Nzc3ODQ5MzAifQ==</vt:lpwstr>
  </property>
</Properties>
</file>